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bookmarkStart w:id="0" w:name="_Toc15306267"/>
    </w:p>
    <w:bookmarkEnd w:id="0"/>
    <w:p>
      <w:pPr>
        <w:adjustRightInd w:val="0"/>
        <w:snapToGrid w:val="0"/>
        <w:spacing w:line="360" w:lineRule="auto"/>
        <w:ind w:firstLine="2520" w:firstLineChars="350"/>
        <w:outlineLvl w:val="0"/>
        <w:rPr>
          <w:rFonts w:ascii="方正小标宋简体" w:hAnsi="宋体" w:eastAsia="方正小标宋简体"/>
          <w:sz w:val="72"/>
          <w:szCs w:val="72"/>
        </w:rPr>
      </w:pPr>
      <w:bookmarkStart w:id="1" w:name="_Toc15378441"/>
      <w:bookmarkStart w:id="2" w:name="_Toc15377193"/>
      <w:bookmarkStart w:id="3" w:name="_Toc15396597"/>
      <w:bookmarkStart w:id="4" w:name="_Toc15396475"/>
      <w:bookmarkStart w:id="5" w:name="_Toc15377425"/>
      <w:r>
        <w:rPr>
          <w:rFonts w:ascii="方正小标宋简体" w:hAnsi="宋体" w:eastAsia="方正小标宋简体"/>
          <w:sz w:val="72"/>
          <w:szCs w:val="72"/>
        </w:rPr>
        <w:t>201</w:t>
      </w:r>
      <w:r>
        <w:rPr>
          <w:rFonts w:hint="eastAsia" w:ascii="方正小标宋简体" w:hAnsi="宋体" w:eastAsia="方正小标宋简体"/>
          <w:sz w:val="72"/>
          <w:szCs w:val="72"/>
        </w:rPr>
        <w:t>9年度</w:t>
      </w:r>
      <w:bookmarkEnd w:id="1"/>
      <w:bookmarkEnd w:id="2"/>
      <w:bookmarkEnd w:id="3"/>
      <w:bookmarkEnd w:id="4"/>
      <w:bookmarkEnd w:id="5"/>
    </w:p>
    <w:p>
      <w:pPr>
        <w:adjustRightInd w:val="0"/>
        <w:snapToGrid w:val="0"/>
        <w:spacing w:line="360" w:lineRule="auto"/>
        <w:ind w:firstLine="993" w:firstLineChars="138"/>
        <w:outlineLvl w:val="0"/>
        <w:rPr>
          <w:rFonts w:ascii="方正小标宋简体" w:hAnsi="宋体" w:eastAsia="方正小标宋简体"/>
          <w:sz w:val="72"/>
          <w:szCs w:val="72"/>
        </w:rPr>
      </w:pPr>
      <w:bookmarkStart w:id="6" w:name="_Toc15378442"/>
      <w:bookmarkStart w:id="7" w:name="_Toc15377426"/>
      <w:bookmarkStart w:id="8" w:name="_Toc15396598"/>
      <w:bookmarkStart w:id="9" w:name="_Toc15396476"/>
      <w:bookmarkStart w:id="10" w:name="_Toc15377194"/>
      <w:r>
        <w:rPr>
          <w:rFonts w:hint="eastAsia" w:ascii="方正小标宋简体" w:hAnsi="宋体" w:eastAsia="方正小标宋简体"/>
          <w:sz w:val="72"/>
          <w:szCs w:val="72"/>
        </w:rPr>
        <w:t>阿坝州</w:t>
      </w:r>
      <w:bookmarkStart w:id="11" w:name="_Toc15306268"/>
      <w:r>
        <w:rPr>
          <w:rFonts w:hint="eastAsia" w:ascii="方正小标宋简体" w:hAnsi="宋体" w:eastAsia="方正小标宋简体"/>
          <w:sz w:val="72"/>
          <w:szCs w:val="72"/>
        </w:rPr>
        <w:t>财政信息网络</w:t>
      </w:r>
    </w:p>
    <w:p>
      <w:pPr>
        <w:adjustRightInd w:val="0"/>
        <w:snapToGrid w:val="0"/>
        <w:spacing w:line="360" w:lineRule="auto"/>
        <w:ind w:firstLine="1353" w:firstLineChars="188"/>
        <w:outlineLvl w:val="0"/>
        <w:rPr>
          <w:rFonts w:ascii="方正小标宋简体" w:hAnsi="宋体" w:eastAsia="方正小标宋简体"/>
          <w:sz w:val="72"/>
          <w:szCs w:val="72"/>
        </w:rPr>
      </w:pPr>
      <w:r>
        <w:rPr>
          <w:rFonts w:hint="eastAsia" w:ascii="方正小标宋简体" w:hAnsi="宋体" w:eastAsia="方正小标宋简体"/>
          <w:sz w:val="72"/>
          <w:szCs w:val="72"/>
        </w:rPr>
        <w:t>管理中心部门决算</w:t>
      </w:r>
      <w:bookmarkEnd w:id="6"/>
      <w:bookmarkEnd w:id="7"/>
      <w:bookmarkEnd w:id="8"/>
      <w:bookmarkEnd w:id="9"/>
      <w:bookmarkEnd w:id="10"/>
      <w:bookmarkEnd w:id="11"/>
    </w:p>
    <w:p/>
    <w:p/>
    <w:p/>
    <w:p/>
    <w:p/>
    <w:p/>
    <w:p/>
    <w:p/>
    <w:p>
      <w:r>
        <w:rPr>
          <w:rFonts w:hint="eastAsia"/>
        </w:rPr>
        <w:t>保密审查情况：已审查，内容审定</w:t>
      </w:r>
    </w:p>
    <w:p>
      <w:r>
        <w:rPr>
          <w:rFonts w:hint="eastAsia"/>
        </w:rPr>
        <w:t>部门主要负责人审签情况：已审签，同意对外公开</w:t>
      </w:r>
    </w:p>
    <w:p>
      <w:pPr>
        <w:widowControl/>
        <w:spacing w:line="240" w:lineRule="auto"/>
        <w:ind w:firstLine="0" w:firstLineChars="0"/>
        <w:jc w:val="center"/>
        <w:rPr>
          <w:rFonts w:ascii="黑体" w:hAnsi="黑体" w:eastAsia="黑体"/>
          <w:sz w:val="48"/>
          <w:szCs w:val="48"/>
        </w:rPr>
      </w:pPr>
      <w:r>
        <w:rPr>
          <w:rFonts w:hint="eastAsia" w:ascii="黑体" w:hAnsi="黑体" w:eastAsia="黑体"/>
          <w:sz w:val="48"/>
          <w:szCs w:val="48"/>
        </w:rPr>
        <w:t>目录</w:t>
      </w:r>
    </w:p>
    <w:p/>
    <w:p>
      <w:pPr>
        <w:pStyle w:val="10"/>
        <w:ind w:firstLine="560"/>
      </w:pPr>
      <w:r>
        <w:rPr>
          <w:rFonts w:hint="eastAsia"/>
        </w:rPr>
        <w:t>公开时间：2020年9月</w:t>
      </w:r>
      <w:r>
        <w:t>25</w:t>
      </w:r>
      <w:r>
        <w:rPr>
          <w:rFonts w:hint="eastAsia"/>
        </w:rPr>
        <w:t>日</w:t>
      </w:r>
    </w:p>
    <w:p>
      <w:pPr>
        <w:widowControl/>
        <w:ind w:firstLine="960"/>
        <w:jc w:val="center"/>
        <w:rPr>
          <w:rFonts w:ascii="黑体" w:hAnsi="黑体" w:eastAsia="黑体" w:cstheme="minorBidi"/>
          <w:sz w:val="28"/>
          <w:szCs w:val="28"/>
        </w:rPr>
      </w:pPr>
      <w:bookmarkStart w:id="12" w:name="_Toc15396599"/>
      <w:bookmarkStart w:id="13" w:name="_Toc15377196"/>
      <w:r>
        <w:rPr>
          <w:rFonts w:ascii="黑体" w:hAnsi="黑体" w:eastAsia="黑体"/>
          <w:sz w:val="48"/>
          <w:szCs w:val="48"/>
        </w:rPr>
        <w:fldChar w:fldCharType="begin"/>
      </w:r>
      <w:r>
        <w:rPr>
          <w:rFonts w:ascii="黑体" w:hAnsi="黑体" w:eastAsia="黑体"/>
          <w:sz w:val="48"/>
          <w:szCs w:val="48"/>
        </w:rPr>
        <w:instrText xml:space="preserve"> TOC \o "1-2" \h \z \u </w:instrText>
      </w:r>
      <w:r>
        <w:rPr>
          <w:rFonts w:ascii="黑体" w:hAnsi="黑体" w:eastAsia="黑体"/>
          <w:sz w:val="48"/>
          <w:szCs w:val="48"/>
        </w:rPr>
        <w:fldChar w:fldCharType="separate"/>
      </w:r>
    </w:p>
    <w:p>
      <w:pPr>
        <w:pStyle w:val="10"/>
        <w:ind w:firstLine="56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ind w:left="640"/>
        <w:rPr>
          <w:rFonts w:cstheme="minorBidi"/>
          <w:sz w:val="28"/>
          <w:szCs w:val="28"/>
        </w:rPr>
      </w:pPr>
      <w:r>
        <w:fldChar w:fldCharType="begin"/>
      </w:r>
      <w:r>
        <w:instrText xml:space="preserve"> HYPERLINK \l "_Toc15396600" </w:instrText>
      </w:r>
      <w:r>
        <w:fldChar w:fldCharType="separate"/>
      </w:r>
      <w:r>
        <w:rPr>
          <w:rStyle w:val="16"/>
          <w:rFonts w:hint="eastAsia"/>
          <w:sz w:val="28"/>
          <w:szCs w:val="28"/>
        </w:rPr>
        <w:t>一、基本职能及主要工作</w:t>
      </w:r>
      <w:r>
        <w:rPr>
          <w:sz w:val="28"/>
          <w:szCs w:val="28"/>
        </w:rPr>
        <w:tab/>
      </w:r>
      <w:r>
        <w:rPr>
          <w:rFonts w:hint="eastAsia"/>
          <w:sz w:val="28"/>
          <w:szCs w:val="28"/>
        </w:rPr>
        <w:t>4</w:t>
      </w:r>
      <w:r>
        <w:rPr>
          <w:rFonts w:hint="eastAsia"/>
          <w:sz w:val="28"/>
          <w:szCs w:val="28"/>
        </w:rPr>
        <w:fldChar w:fldCharType="end"/>
      </w:r>
    </w:p>
    <w:p>
      <w:pPr>
        <w:pStyle w:val="11"/>
        <w:ind w:left="640"/>
        <w:rPr>
          <w:rFonts w:cstheme="minorBidi"/>
          <w:sz w:val="28"/>
          <w:szCs w:val="28"/>
        </w:rPr>
      </w:pPr>
      <w:r>
        <w:fldChar w:fldCharType="begin"/>
      </w:r>
      <w:r>
        <w:instrText xml:space="preserve"> HYPERLINK \l "_Toc15396601" </w:instrText>
      </w:r>
      <w:r>
        <w:fldChar w:fldCharType="separate"/>
      </w:r>
      <w:r>
        <w:rPr>
          <w:rStyle w:val="16"/>
          <w:rFonts w:hint="eastAsia"/>
          <w:sz w:val="28"/>
          <w:szCs w:val="28"/>
        </w:rPr>
        <w:t>二、机构设置</w:t>
      </w:r>
      <w:r>
        <w:rPr>
          <w:sz w:val="28"/>
          <w:szCs w:val="28"/>
        </w:rPr>
        <w:tab/>
      </w:r>
      <w:r>
        <w:rPr>
          <w:rFonts w:hint="eastAsia"/>
          <w:sz w:val="28"/>
          <w:szCs w:val="28"/>
          <w:lang w:val="en-US" w:eastAsia="zh-CN"/>
        </w:rPr>
        <w:t>5</w:t>
      </w:r>
      <w:r>
        <w:rPr>
          <w:rFonts w:hint="eastAsia"/>
          <w:sz w:val="28"/>
          <w:szCs w:val="28"/>
        </w:rPr>
        <w:fldChar w:fldCharType="end"/>
      </w:r>
    </w:p>
    <w:p>
      <w:pPr>
        <w:pStyle w:val="10"/>
        <w:ind w:firstLine="56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t>6</w:t>
      </w:r>
      <w:r>
        <w:fldChar w:fldCharType="end"/>
      </w:r>
    </w:p>
    <w:p>
      <w:pPr>
        <w:pStyle w:val="11"/>
        <w:ind w:left="640"/>
        <w:rPr>
          <w:rFonts w:cstheme="minorBidi"/>
          <w:sz w:val="28"/>
          <w:szCs w:val="28"/>
        </w:rPr>
      </w:pPr>
      <w:r>
        <w:fldChar w:fldCharType="begin"/>
      </w:r>
      <w:r>
        <w:instrText xml:space="preserve"> HYPERLINK \l "_Toc15396603" </w:instrText>
      </w:r>
      <w:r>
        <w:fldChar w:fldCharType="separate"/>
      </w:r>
      <w:r>
        <w:rPr>
          <w:rStyle w:val="16"/>
          <w:rFonts w:hint="eastAsia" w:cstheme="majorBidi"/>
          <w:bCs/>
          <w:sz w:val="28"/>
          <w:szCs w:val="28"/>
        </w:rPr>
        <w:t>一、</w:t>
      </w:r>
      <w:r>
        <w:rPr>
          <w:rStyle w:val="16"/>
          <w:rFonts w:hint="eastAsia"/>
          <w:sz w:val="28"/>
          <w:szCs w:val="28"/>
        </w:rPr>
        <w:t>收</w:t>
      </w:r>
      <w:r>
        <w:rPr>
          <w:rStyle w:val="16"/>
          <w:rFonts w:hint="eastAsia" w:cstheme="majorBidi"/>
          <w:bCs/>
          <w:sz w:val="28"/>
          <w:szCs w:val="28"/>
        </w:rPr>
        <w:t>入支出决算总体情况说明</w:t>
      </w:r>
      <w:r>
        <w:rPr>
          <w:sz w:val="28"/>
          <w:szCs w:val="28"/>
        </w:rPr>
        <w:tab/>
      </w:r>
      <w:r>
        <w:rPr>
          <w:sz w:val="28"/>
          <w:szCs w:val="28"/>
        </w:rPr>
        <w:t>6</w:t>
      </w:r>
      <w:r>
        <w:rPr>
          <w:sz w:val="28"/>
          <w:szCs w:val="28"/>
        </w:rPr>
        <w:fldChar w:fldCharType="end"/>
      </w:r>
    </w:p>
    <w:p>
      <w:pPr>
        <w:pStyle w:val="11"/>
        <w:ind w:left="640"/>
        <w:rPr>
          <w:rFonts w:cstheme="minorBidi"/>
          <w:sz w:val="28"/>
          <w:szCs w:val="28"/>
        </w:rPr>
      </w:pPr>
      <w:r>
        <w:fldChar w:fldCharType="begin"/>
      </w:r>
      <w:r>
        <w:instrText xml:space="preserve"> HYPERLINK \l "_Toc15396604" </w:instrText>
      </w:r>
      <w:r>
        <w:fldChar w:fldCharType="separate"/>
      </w:r>
      <w:r>
        <w:rPr>
          <w:rStyle w:val="16"/>
          <w:rFonts w:hint="eastAsia" w:cstheme="majorBidi"/>
          <w:bCs/>
          <w:sz w:val="28"/>
          <w:szCs w:val="28"/>
        </w:rPr>
        <w:t>二、</w:t>
      </w:r>
      <w:r>
        <w:rPr>
          <w:rStyle w:val="16"/>
          <w:rFonts w:hint="eastAsia"/>
          <w:sz w:val="28"/>
          <w:szCs w:val="28"/>
        </w:rPr>
        <w:t>收</w:t>
      </w:r>
      <w:r>
        <w:rPr>
          <w:rStyle w:val="16"/>
          <w:rFonts w:hint="eastAsia" w:cstheme="majorBidi"/>
          <w:bCs/>
          <w:sz w:val="28"/>
          <w:szCs w:val="28"/>
        </w:rPr>
        <w:t>入决算情况说明</w:t>
      </w:r>
      <w:r>
        <w:rPr>
          <w:sz w:val="28"/>
          <w:szCs w:val="28"/>
        </w:rPr>
        <w:tab/>
      </w:r>
      <w:r>
        <w:rPr>
          <w:rFonts w:hint="eastAsia"/>
          <w:sz w:val="28"/>
          <w:szCs w:val="28"/>
          <w:lang w:val="en-US" w:eastAsia="zh-CN"/>
        </w:rPr>
        <w:t>6</w:t>
      </w:r>
      <w:r>
        <w:rPr>
          <w:rFonts w:hint="eastAsia"/>
          <w:sz w:val="28"/>
          <w:szCs w:val="28"/>
        </w:rPr>
        <w:fldChar w:fldCharType="end"/>
      </w:r>
    </w:p>
    <w:p>
      <w:pPr>
        <w:pStyle w:val="11"/>
        <w:ind w:left="640"/>
        <w:rPr>
          <w:rFonts w:cstheme="minorBidi"/>
          <w:sz w:val="28"/>
          <w:szCs w:val="28"/>
        </w:rPr>
      </w:pPr>
      <w:r>
        <w:fldChar w:fldCharType="begin"/>
      </w:r>
      <w:r>
        <w:instrText xml:space="preserve"> HYPERLINK \l "_Toc15396605" </w:instrText>
      </w:r>
      <w:r>
        <w:fldChar w:fldCharType="separate"/>
      </w:r>
      <w:r>
        <w:rPr>
          <w:rStyle w:val="16"/>
          <w:rFonts w:hint="eastAsia" w:cstheme="majorBidi"/>
          <w:bCs/>
          <w:sz w:val="28"/>
          <w:szCs w:val="28"/>
        </w:rPr>
        <w:t>三、</w:t>
      </w:r>
      <w:r>
        <w:rPr>
          <w:rStyle w:val="16"/>
          <w:rFonts w:hint="eastAsia"/>
          <w:sz w:val="28"/>
          <w:szCs w:val="28"/>
        </w:rPr>
        <w:t>支</w:t>
      </w:r>
      <w:r>
        <w:rPr>
          <w:rStyle w:val="16"/>
          <w:rFonts w:hint="eastAsia" w:cstheme="majorBidi"/>
          <w:bCs/>
          <w:sz w:val="28"/>
          <w:szCs w:val="28"/>
        </w:rPr>
        <w:t>出决算情况说明</w:t>
      </w:r>
      <w:r>
        <w:rPr>
          <w:sz w:val="28"/>
          <w:szCs w:val="28"/>
        </w:rPr>
        <w:tab/>
      </w:r>
      <w:r>
        <w:rPr>
          <w:sz w:val="28"/>
          <w:szCs w:val="28"/>
        </w:rPr>
        <w:t>7</w:t>
      </w:r>
      <w:r>
        <w:rPr>
          <w:sz w:val="28"/>
          <w:szCs w:val="28"/>
        </w:rPr>
        <w:fldChar w:fldCharType="end"/>
      </w:r>
    </w:p>
    <w:p>
      <w:pPr>
        <w:pStyle w:val="11"/>
        <w:ind w:left="640"/>
        <w:rPr>
          <w:rFonts w:cstheme="minorBidi"/>
          <w:sz w:val="28"/>
          <w:szCs w:val="28"/>
        </w:rPr>
      </w:pPr>
      <w:r>
        <w:fldChar w:fldCharType="begin"/>
      </w:r>
      <w:r>
        <w:instrText xml:space="preserve"> HYPERLINK \l "_Toc15396606" </w:instrText>
      </w:r>
      <w:r>
        <w:fldChar w:fldCharType="separate"/>
      </w:r>
      <w:r>
        <w:rPr>
          <w:rStyle w:val="16"/>
          <w:rFonts w:hint="eastAsia"/>
          <w:sz w:val="28"/>
          <w:szCs w:val="28"/>
        </w:rPr>
        <w:t>四、财</w:t>
      </w:r>
      <w:r>
        <w:rPr>
          <w:rStyle w:val="16"/>
          <w:rFonts w:hint="eastAsia" w:cstheme="majorBidi"/>
          <w:bCs/>
          <w:sz w:val="28"/>
          <w:szCs w:val="28"/>
        </w:rPr>
        <w:t>政拨款收入支出决算总体情况说明</w:t>
      </w:r>
      <w:r>
        <w:rPr>
          <w:sz w:val="28"/>
          <w:szCs w:val="28"/>
        </w:rPr>
        <w:tab/>
      </w:r>
      <w:r>
        <w:rPr>
          <w:rFonts w:hint="eastAsia"/>
          <w:sz w:val="28"/>
          <w:szCs w:val="28"/>
          <w:lang w:val="en-US" w:eastAsia="zh-CN"/>
        </w:rPr>
        <w:t>7</w:t>
      </w:r>
      <w:r>
        <w:rPr>
          <w:rFonts w:hint="eastAsia"/>
          <w:sz w:val="28"/>
          <w:szCs w:val="28"/>
        </w:rPr>
        <w:fldChar w:fldCharType="end"/>
      </w:r>
    </w:p>
    <w:p>
      <w:pPr>
        <w:pStyle w:val="11"/>
        <w:ind w:left="640"/>
        <w:rPr>
          <w:rFonts w:cstheme="minorBidi"/>
          <w:sz w:val="28"/>
          <w:szCs w:val="28"/>
        </w:rPr>
      </w:pPr>
      <w:r>
        <w:fldChar w:fldCharType="begin"/>
      </w:r>
      <w:r>
        <w:instrText xml:space="preserve"> HYPERLINK \l "_Toc15396607" </w:instrText>
      </w:r>
      <w:r>
        <w:fldChar w:fldCharType="separate"/>
      </w:r>
      <w:r>
        <w:rPr>
          <w:rStyle w:val="16"/>
          <w:rFonts w:hint="eastAsia"/>
          <w:sz w:val="28"/>
          <w:szCs w:val="28"/>
        </w:rPr>
        <w:t>五、一</w:t>
      </w:r>
      <w:r>
        <w:rPr>
          <w:rStyle w:val="16"/>
          <w:rFonts w:hint="eastAsia" w:cstheme="majorBidi"/>
          <w:bCs/>
          <w:sz w:val="28"/>
          <w:szCs w:val="28"/>
        </w:rPr>
        <w:t>般公共预算财政拨款支出决算情况说明</w:t>
      </w:r>
      <w:r>
        <w:rPr>
          <w:sz w:val="28"/>
          <w:szCs w:val="28"/>
        </w:rPr>
        <w:tab/>
      </w:r>
      <w:r>
        <w:rPr>
          <w:sz w:val="28"/>
          <w:szCs w:val="28"/>
        </w:rPr>
        <w:t>8</w:t>
      </w:r>
      <w:r>
        <w:rPr>
          <w:sz w:val="28"/>
          <w:szCs w:val="28"/>
        </w:rPr>
        <w:fldChar w:fldCharType="end"/>
      </w:r>
    </w:p>
    <w:p>
      <w:pPr>
        <w:pStyle w:val="11"/>
        <w:ind w:left="640"/>
        <w:rPr>
          <w:rFonts w:hint="eastAsia" w:eastAsia="仿宋" w:cstheme="minorBidi"/>
          <w:sz w:val="28"/>
          <w:szCs w:val="28"/>
          <w:lang w:val="en-US" w:eastAsia="zh-CN"/>
        </w:rPr>
      </w:pPr>
      <w:r>
        <w:fldChar w:fldCharType="begin"/>
      </w:r>
      <w:r>
        <w:instrText xml:space="preserve"> HYPERLINK \l "_Toc15396608" </w:instrText>
      </w:r>
      <w:r>
        <w:fldChar w:fldCharType="separate"/>
      </w:r>
      <w:r>
        <w:rPr>
          <w:rStyle w:val="16"/>
          <w:rFonts w:hint="eastAsia"/>
          <w:sz w:val="28"/>
          <w:szCs w:val="28"/>
        </w:rPr>
        <w:t>六、一</w:t>
      </w:r>
      <w:r>
        <w:rPr>
          <w:rStyle w:val="16"/>
          <w:rFonts w:hint="eastAsia" w:cstheme="majorBidi"/>
          <w:bCs/>
          <w:sz w:val="28"/>
          <w:szCs w:val="28"/>
        </w:rPr>
        <w:t>般公共预算财政拨款基本支出决算情况说明</w:t>
      </w:r>
      <w:r>
        <w:rPr>
          <w:sz w:val="28"/>
          <w:szCs w:val="28"/>
        </w:rPr>
        <w:tab/>
      </w:r>
      <w:r>
        <w:rPr>
          <w:rFonts w:hint="eastAsia"/>
          <w:sz w:val="28"/>
          <w:szCs w:val="28"/>
          <w:lang w:val="en-US" w:eastAsia="zh-CN"/>
        </w:rPr>
        <w:t>1</w:t>
      </w:r>
      <w:r>
        <w:rPr>
          <w:rFonts w:hint="eastAsia"/>
          <w:sz w:val="28"/>
          <w:szCs w:val="28"/>
        </w:rPr>
        <w:fldChar w:fldCharType="end"/>
      </w:r>
      <w:r>
        <w:rPr>
          <w:rFonts w:hint="eastAsia"/>
          <w:sz w:val="28"/>
          <w:szCs w:val="28"/>
          <w:lang w:val="en-US" w:eastAsia="zh-CN"/>
        </w:rPr>
        <w:t>0</w:t>
      </w:r>
    </w:p>
    <w:p>
      <w:pPr>
        <w:pStyle w:val="11"/>
        <w:ind w:left="640"/>
        <w:rPr>
          <w:rFonts w:cstheme="minorBidi"/>
          <w:sz w:val="28"/>
          <w:szCs w:val="28"/>
        </w:rPr>
      </w:pPr>
      <w:r>
        <w:fldChar w:fldCharType="begin"/>
      </w:r>
      <w:r>
        <w:instrText xml:space="preserve"> HYPERLINK \l "_Toc15396609" </w:instrText>
      </w:r>
      <w:r>
        <w:fldChar w:fldCharType="separate"/>
      </w:r>
      <w:r>
        <w:rPr>
          <w:rStyle w:val="16"/>
          <w:rFonts w:hint="eastAsia"/>
          <w:sz w:val="28"/>
          <w:szCs w:val="28"/>
        </w:rPr>
        <w:t>七、</w:t>
      </w:r>
      <w:r>
        <w:rPr>
          <w:rStyle w:val="16"/>
          <w:sz w:val="28"/>
          <w:szCs w:val="28"/>
        </w:rPr>
        <w:t>“</w:t>
      </w:r>
      <w:r>
        <w:rPr>
          <w:rStyle w:val="16"/>
          <w:rFonts w:hint="eastAsia" w:cstheme="majorBidi"/>
          <w:bCs/>
          <w:sz w:val="28"/>
          <w:szCs w:val="28"/>
        </w:rPr>
        <w:t>三公”经费财政拨款支出决算情况说明</w:t>
      </w:r>
      <w:r>
        <w:rPr>
          <w:sz w:val="28"/>
          <w:szCs w:val="28"/>
        </w:rPr>
        <w:tab/>
      </w:r>
      <w:r>
        <w:rPr>
          <w:rFonts w:hint="eastAsia"/>
          <w:sz w:val="28"/>
          <w:szCs w:val="28"/>
        </w:rPr>
        <w:t>11</w:t>
      </w:r>
      <w:r>
        <w:rPr>
          <w:rFonts w:hint="eastAsia"/>
          <w:sz w:val="28"/>
          <w:szCs w:val="28"/>
        </w:rPr>
        <w:fldChar w:fldCharType="end"/>
      </w:r>
    </w:p>
    <w:p>
      <w:pPr>
        <w:pStyle w:val="11"/>
        <w:ind w:left="640"/>
        <w:rPr>
          <w:rFonts w:hint="eastAsia" w:eastAsia="仿宋" w:cstheme="minorBidi"/>
          <w:sz w:val="28"/>
          <w:szCs w:val="28"/>
          <w:lang w:val="en-US" w:eastAsia="zh-CN"/>
        </w:rPr>
      </w:pPr>
      <w:r>
        <w:fldChar w:fldCharType="begin"/>
      </w:r>
      <w:r>
        <w:instrText xml:space="preserve"> HYPERLINK \l "_Toc15396610" </w:instrText>
      </w:r>
      <w:r>
        <w:fldChar w:fldCharType="separate"/>
      </w:r>
      <w:r>
        <w:rPr>
          <w:rStyle w:val="16"/>
          <w:rFonts w:hint="eastAsia"/>
          <w:sz w:val="28"/>
          <w:szCs w:val="28"/>
        </w:rPr>
        <w:t>八、</w:t>
      </w:r>
      <w:r>
        <w:rPr>
          <w:rStyle w:val="16"/>
          <w:rFonts w:hint="eastAsia" w:cstheme="majorBidi"/>
          <w:bCs/>
          <w:sz w:val="28"/>
          <w:szCs w:val="28"/>
        </w:rPr>
        <w:t>政府性基金预算支出决算情况说明</w:t>
      </w:r>
      <w:r>
        <w:rPr>
          <w:sz w:val="28"/>
          <w:szCs w:val="28"/>
        </w:rPr>
        <w:tab/>
      </w:r>
      <w:r>
        <w:rPr>
          <w:rFonts w:hint="eastAsia"/>
          <w:sz w:val="28"/>
          <w:szCs w:val="28"/>
          <w:lang w:val="en-US" w:eastAsia="zh-CN"/>
        </w:rPr>
        <w:t>1</w:t>
      </w:r>
      <w:r>
        <w:rPr>
          <w:rFonts w:hint="eastAsia"/>
          <w:sz w:val="28"/>
          <w:szCs w:val="28"/>
        </w:rPr>
        <w:fldChar w:fldCharType="end"/>
      </w:r>
      <w:r>
        <w:rPr>
          <w:rFonts w:hint="eastAsia"/>
          <w:sz w:val="28"/>
          <w:szCs w:val="28"/>
          <w:lang w:val="en-US" w:eastAsia="zh-CN"/>
        </w:rPr>
        <w:t>2</w:t>
      </w:r>
    </w:p>
    <w:p>
      <w:pPr>
        <w:pStyle w:val="11"/>
        <w:ind w:left="640"/>
        <w:rPr>
          <w:rFonts w:cstheme="minorBidi"/>
          <w:sz w:val="28"/>
          <w:szCs w:val="28"/>
        </w:rPr>
      </w:pPr>
      <w:r>
        <w:fldChar w:fldCharType="begin"/>
      </w:r>
      <w:r>
        <w:instrText xml:space="preserve"> HYPERLINK \l "_Toc15396611" </w:instrText>
      </w:r>
      <w:r>
        <w:fldChar w:fldCharType="separate"/>
      </w:r>
      <w:r>
        <w:rPr>
          <w:rStyle w:val="16"/>
          <w:rFonts w:hint="eastAsia" w:cstheme="majorBidi"/>
          <w:bCs/>
          <w:sz w:val="28"/>
          <w:szCs w:val="28"/>
        </w:rPr>
        <w:t>九、</w:t>
      </w:r>
      <w:r>
        <w:rPr>
          <w:rStyle w:val="16"/>
          <w:rFonts w:hint="eastAsia"/>
          <w:sz w:val="28"/>
          <w:szCs w:val="28"/>
        </w:rPr>
        <w:t xml:space="preserve"> 国</w:t>
      </w:r>
      <w:r>
        <w:rPr>
          <w:rStyle w:val="16"/>
          <w:rFonts w:hint="eastAsia" w:cstheme="majorBidi"/>
          <w:bCs/>
          <w:sz w:val="28"/>
          <w:szCs w:val="28"/>
        </w:rPr>
        <w:t>有资本经营预算支出决算情况说明</w:t>
      </w:r>
      <w:r>
        <w:rPr>
          <w:sz w:val="28"/>
          <w:szCs w:val="28"/>
        </w:rPr>
        <w:tab/>
      </w:r>
      <w:r>
        <w:rPr>
          <w:rFonts w:hint="eastAsia"/>
          <w:sz w:val="28"/>
          <w:szCs w:val="28"/>
        </w:rPr>
        <w:t>1</w:t>
      </w:r>
      <w:r>
        <w:rPr>
          <w:rFonts w:hint="eastAsia"/>
          <w:sz w:val="28"/>
          <w:szCs w:val="28"/>
          <w:lang w:val="en-US" w:eastAsia="zh-CN"/>
        </w:rPr>
        <w:t>2</w:t>
      </w:r>
      <w:r>
        <w:rPr>
          <w:rFonts w:hint="eastAsia"/>
          <w:sz w:val="28"/>
          <w:szCs w:val="28"/>
        </w:rPr>
        <w:fldChar w:fldCharType="end"/>
      </w:r>
    </w:p>
    <w:p>
      <w:pPr>
        <w:pStyle w:val="11"/>
        <w:ind w:left="640"/>
        <w:rPr>
          <w:rFonts w:cstheme="minorBidi"/>
          <w:sz w:val="28"/>
          <w:szCs w:val="28"/>
        </w:rPr>
      </w:pPr>
      <w:r>
        <w:fldChar w:fldCharType="begin"/>
      </w:r>
      <w:r>
        <w:instrText xml:space="preserve"> HYPERLINK \l "_Toc15396612" </w:instrText>
      </w:r>
      <w:r>
        <w:fldChar w:fldCharType="separate"/>
      </w:r>
      <w:r>
        <w:rPr>
          <w:rStyle w:val="16"/>
          <w:rFonts w:hint="eastAsia"/>
          <w:sz w:val="28"/>
          <w:szCs w:val="28"/>
        </w:rPr>
        <w:t>十</w:t>
      </w:r>
      <w:r>
        <w:rPr>
          <w:rStyle w:val="16"/>
          <w:rFonts w:hint="eastAsia" w:cstheme="majorBidi"/>
          <w:bCs/>
          <w:sz w:val="28"/>
          <w:szCs w:val="28"/>
        </w:rPr>
        <w:t>、其他重要事项的情况说明</w:t>
      </w:r>
      <w:r>
        <w:rPr>
          <w:sz w:val="28"/>
          <w:szCs w:val="28"/>
        </w:rPr>
        <w:tab/>
      </w:r>
      <w:r>
        <w:rPr>
          <w:rFonts w:hint="eastAsia"/>
          <w:sz w:val="28"/>
          <w:szCs w:val="28"/>
        </w:rPr>
        <w:t>1</w:t>
      </w:r>
      <w:r>
        <w:rPr>
          <w:rFonts w:hint="eastAsia"/>
          <w:sz w:val="28"/>
          <w:szCs w:val="28"/>
          <w:lang w:val="en-US" w:eastAsia="zh-CN"/>
        </w:rPr>
        <w:t>2</w:t>
      </w:r>
      <w:r>
        <w:rPr>
          <w:rFonts w:hint="eastAsia"/>
          <w:sz w:val="28"/>
          <w:szCs w:val="28"/>
        </w:rPr>
        <w:fldChar w:fldCharType="end"/>
      </w:r>
    </w:p>
    <w:p>
      <w:pPr>
        <w:pStyle w:val="10"/>
        <w:ind w:firstLine="56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t>1</w:t>
      </w:r>
      <w:r>
        <w:rPr>
          <w:rFonts w:hint="eastAsia"/>
          <w:lang w:val="en-US" w:eastAsia="zh-CN"/>
        </w:rPr>
        <w:t>4</w:t>
      </w:r>
      <w:r>
        <w:rPr>
          <w:rFonts w:hint="eastAsia"/>
        </w:rPr>
        <w:fldChar w:fldCharType="end"/>
      </w:r>
    </w:p>
    <w:p>
      <w:pPr>
        <w:pStyle w:val="10"/>
        <w:ind w:firstLine="56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t>1</w:t>
      </w:r>
      <w:r>
        <w:rPr>
          <w:rFonts w:hint="eastAsia"/>
          <w:lang w:val="en-US" w:eastAsia="zh-CN"/>
        </w:rPr>
        <w:t>7</w:t>
      </w:r>
      <w:r>
        <w:rPr>
          <w:rFonts w:hint="eastAsia"/>
        </w:rPr>
        <w:fldChar w:fldCharType="end"/>
      </w:r>
    </w:p>
    <w:p>
      <w:pPr>
        <w:pStyle w:val="11"/>
        <w:ind w:left="640"/>
        <w:rPr>
          <w:rFonts w:cstheme="minorBidi"/>
          <w:sz w:val="28"/>
          <w:szCs w:val="28"/>
        </w:rPr>
      </w:pPr>
      <w:r>
        <w:fldChar w:fldCharType="begin"/>
      </w:r>
      <w:r>
        <w:instrText xml:space="preserve"> HYPERLINK \l "_Toc15396615" </w:instrText>
      </w:r>
      <w:r>
        <w:fldChar w:fldCharType="separate"/>
      </w:r>
      <w:r>
        <w:rPr>
          <w:rStyle w:val="16"/>
          <w:rFonts w:hint="eastAsia"/>
          <w:kern w:val="44"/>
          <w:sz w:val="28"/>
          <w:szCs w:val="28"/>
        </w:rPr>
        <w:t>附件</w:t>
      </w:r>
      <w:r>
        <w:rPr>
          <w:rStyle w:val="16"/>
          <w:kern w:val="44"/>
          <w:sz w:val="28"/>
          <w:szCs w:val="28"/>
        </w:rPr>
        <w:t>1</w:t>
      </w:r>
      <w:r>
        <w:rPr>
          <w:sz w:val="28"/>
          <w:szCs w:val="28"/>
        </w:rPr>
        <w:tab/>
      </w:r>
      <w:r>
        <w:rPr>
          <w:rFonts w:hint="eastAsia"/>
          <w:sz w:val="28"/>
          <w:szCs w:val="28"/>
        </w:rPr>
        <w:t>1</w:t>
      </w:r>
      <w:r>
        <w:rPr>
          <w:rFonts w:hint="eastAsia"/>
          <w:sz w:val="28"/>
          <w:szCs w:val="28"/>
          <w:lang w:val="en-US" w:eastAsia="zh-CN"/>
        </w:rPr>
        <w:t>7</w:t>
      </w:r>
      <w:r>
        <w:rPr>
          <w:rFonts w:hint="eastAsia"/>
          <w:sz w:val="28"/>
          <w:szCs w:val="28"/>
        </w:rPr>
        <w:fldChar w:fldCharType="end"/>
      </w:r>
    </w:p>
    <w:p>
      <w:pPr>
        <w:pStyle w:val="10"/>
        <w:ind w:firstLine="56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rPr>
          <w:rFonts w:hint="eastAsia"/>
        </w:rPr>
        <w:t>2</w:t>
      </w:r>
      <w:r>
        <w:rPr>
          <w:rFonts w:hint="eastAsia"/>
          <w:lang w:val="en-US" w:eastAsia="zh-CN"/>
        </w:rPr>
        <w:t>0</w:t>
      </w:r>
      <w:r>
        <w:rPr>
          <w:rFonts w:hint="eastAsia"/>
        </w:rPr>
        <w:fldChar w:fldCharType="end"/>
      </w:r>
    </w:p>
    <w:p>
      <w:pPr>
        <w:pStyle w:val="11"/>
        <w:ind w:left="640" w:firstLine="560"/>
        <w:rPr>
          <w:rFonts w:cstheme="minorBidi"/>
          <w:sz w:val="28"/>
          <w:szCs w:val="28"/>
        </w:rPr>
      </w:pPr>
      <w:r>
        <w:rPr>
          <w:rFonts w:hint="eastAsia"/>
          <w:sz w:val="28"/>
          <w:szCs w:val="28"/>
        </w:rPr>
        <w:t>一、</w:t>
      </w:r>
      <w:r>
        <w:fldChar w:fldCharType="begin"/>
      </w:r>
      <w:r>
        <w:instrText xml:space="preserve"> HYPERLINK \l "_Toc15396619" </w:instrText>
      </w:r>
      <w:r>
        <w:fldChar w:fldCharType="separate"/>
      </w:r>
      <w:r>
        <w:rPr>
          <w:rStyle w:val="16"/>
          <w:rFonts w:hint="eastAsia"/>
          <w:sz w:val="28"/>
          <w:szCs w:val="28"/>
        </w:rPr>
        <w:t>收入支出决算总表</w:t>
      </w:r>
      <w:r>
        <w:rPr>
          <w:sz w:val="28"/>
          <w:szCs w:val="28"/>
        </w:rPr>
        <w:tab/>
      </w:r>
      <w:r>
        <w:rPr>
          <w:sz w:val="28"/>
          <w:szCs w:val="28"/>
        </w:rPr>
        <w:fldChar w:fldCharType="begin"/>
      </w:r>
      <w:r>
        <w:rPr>
          <w:sz w:val="28"/>
          <w:szCs w:val="28"/>
        </w:rPr>
        <w:instrText xml:space="preserve"> PAGEREF _Toc15396619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二、</w:t>
      </w:r>
      <w:r>
        <w:fldChar w:fldCharType="begin"/>
      </w:r>
      <w:r>
        <w:instrText xml:space="preserve"> HYPERLINK \l "_Toc15396620" </w:instrText>
      </w:r>
      <w:r>
        <w:fldChar w:fldCharType="separate"/>
      </w:r>
      <w:r>
        <w:rPr>
          <w:rStyle w:val="16"/>
          <w:rFonts w:hint="eastAsia"/>
          <w:sz w:val="28"/>
          <w:szCs w:val="28"/>
        </w:rPr>
        <w:t>收入总表</w:t>
      </w:r>
      <w:r>
        <w:rPr>
          <w:sz w:val="28"/>
          <w:szCs w:val="28"/>
        </w:rPr>
        <w:tab/>
      </w:r>
      <w:r>
        <w:rPr>
          <w:sz w:val="28"/>
          <w:szCs w:val="28"/>
        </w:rPr>
        <w:fldChar w:fldCharType="begin"/>
      </w:r>
      <w:r>
        <w:rPr>
          <w:sz w:val="28"/>
          <w:szCs w:val="28"/>
        </w:rPr>
        <w:instrText xml:space="preserve"> PAGEREF _Toc15396620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三、</w:t>
      </w:r>
      <w:r>
        <w:fldChar w:fldCharType="begin"/>
      </w:r>
      <w:r>
        <w:instrText xml:space="preserve"> HYPERLINK \l "_Toc15396621" </w:instrText>
      </w:r>
      <w:r>
        <w:fldChar w:fldCharType="separate"/>
      </w:r>
      <w:r>
        <w:rPr>
          <w:rStyle w:val="16"/>
          <w:rFonts w:hint="eastAsia"/>
          <w:sz w:val="28"/>
          <w:szCs w:val="28"/>
        </w:rPr>
        <w:t>支出总表</w:t>
      </w:r>
      <w:r>
        <w:rPr>
          <w:sz w:val="28"/>
          <w:szCs w:val="28"/>
        </w:rPr>
        <w:tab/>
      </w:r>
      <w:r>
        <w:rPr>
          <w:sz w:val="28"/>
          <w:szCs w:val="28"/>
        </w:rPr>
        <w:fldChar w:fldCharType="begin"/>
      </w:r>
      <w:r>
        <w:rPr>
          <w:sz w:val="28"/>
          <w:szCs w:val="28"/>
        </w:rPr>
        <w:instrText xml:space="preserve"> PAGEREF _Toc15396621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四、</w:t>
      </w:r>
      <w:r>
        <w:fldChar w:fldCharType="begin"/>
      </w:r>
      <w:r>
        <w:instrText xml:space="preserve"> HYPERLINK \l "_Toc15396622" </w:instrText>
      </w:r>
      <w:r>
        <w:fldChar w:fldCharType="separate"/>
      </w:r>
      <w:r>
        <w:rPr>
          <w:rStyle w:val="16"/>
          <w:rFonts w:hint="eastAsia"/>
          <w:sz w:val="28"/>
          <w:szCs w:val="28"/>
        </w:rPr>
        <w:t>财政拨款收入支出决算总表</w:t>
      </w:r>
      <w:r>
        <w:rPr>
          <w:sz w:val="28"/>
          <w:szCs w:val="28"/>
        </w:rPr>
        <w:tab/>
      </w:r>
      <w:r>
        <w:rPr>
          <w:sz w:val="28"/>
          <w:szCs w:val="28"/>
        </w:rPr>
        <w:fldChar w:fldCharType="begin"/>
      </w:r>
      <w:r>
        <w:rPr>
          <w:sz w:val="28"/>
          <w:szCs w:val="28"/>
        </w:rPr>
        <w:instrText xml:space="preserve"> PAGEREF _Toc15396622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sz w:val="28"/>
          <w:szCs w:val="28"/>
        </w:rPr>
      </w:pPr>
      <w:r>
        <w:rPr>
          <w:rFonts w:hint="eastAsia"/>
          <w:sz w:val="28"/>
          <w:szCs w:val="28"/>
        </w:rPr>
        <w:t>五、</w:t>
      </w:r>
      <w:r>
        <w:fldChar w:fldCharType="begin"/>
      </w:r>
      <w:r>
        <w:instrText xml:space="preserve"> HYPERLINK \l "_Toc15396623" </w:instrText>
      </w:r>
      <w:r>
        <w:fldChar w:fldCharType="separate"/>
      </w:r>
      <w:r>
        <w:rPr>
          <w:rFonts w:hint="eastAsia"/>
          <w:sz w:val="28"/>
          <w:szCs w:val="28"/>
        </w:rPr>
        <w:t>财政拨款支出决算明细表（政府经济分类科目）</w:t>
      </w:r>
      <w:r>
        <w:rPr>
          <w:sz w:val="28"/>
          <w:szCs w:val="28"/>
        </w:rPr>
        <w:tab/>
      </w:r>
      <w:r>
        <w:rPr>
          <w:sz w:val="28"/>
          <w:szCs w:val="28"/>
        </w:rPr>
        <w:fldChar w:fldCharType="begin"/>
      </w:r>
      <w:r>
        <w:rPr>
          <w:sz w:val="28"/>
          <w:szCs w:val="28"/>
        </w:rPr>
        <w:instrText xml:space="preserve"> PAGEREF _Toc15396623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六、</w:t>
      </w:r>
      <w:r>
        <w:fldChar w:fldCharType="begin"/>
      </w:r>
      <w:r>
        <w:instrText xml:space="preserve"> HYPERLINK \l "_Toc15396624" </w:instrText>
      </w:r>
      <w:r>
        <w:fldChar w:fldCharType="separate"/>
      </w:r>
      <w:r>
        <w:rPr>
          <w:rStyle w:val="16"/>
          <w:rFonts w:hint="eastAsia"/>
          <w:sz w:val="28"/>
          <w:szCs w:val="28"/>
        </w:rPr>
        <w:t>一般公共预算财政拨款支出决算表</w:t>
      </w:r>
      <w:r>
        <w:rPr>
          <w:sz w:val="28"/>
          <w:szCs w:val="28"/>
        </w:rPr>
        <w:tab/>
      </w:r>
      <w:r>
        <w:rPr>
          <w:sz w:val="28"/>
          <w:szCs w:val="28"/>
        </w:rPr>
        <w:fldChar w:fldCharType="begin"/>
      </w:r>
      <w:r>
        <w:rPr>
          <w:sz w:val="28"/>
          <w:szCs w:val="28"/>
        </w:rPr>
        <w:instrText xml:space="preserve"> PAGEREF _Toc15396624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七、</w:t>
      </w:r>
      <w:r>
        <w:fldChar w:fldCharType="begin"/>
      </w:r>
      <w:r>
        <w:instrText xml:space="preserve"> HYPERLINK \l "_Toc15396625" </w:instrText>
      </w:r>
      <w:r>
        <w:fldChar w:fldCharType="separate"/>
      </w:r>
      <w:r>
        <w:rPr>
          <w:rStyle w:val="16"/>
          <w:rFonts w:hint="eastAsia"/>
          <w:sz w:val="28"/>
          <w:szCs w:val="28"/>
        </w:rPr>
        <w:t>一般公共预算财政拨款支出决算明细表</w:t>
      </w:r>
      <w:r>
        <w:rPr>
          <w:sz w:val="28"/>
          <w:szCs w:val="28"/>
        </w:rPr>
        <w:tab/>
      </w:r>
      <w:r>
        <w:rPr>
          <w:sz w:val="28"/>
          <w:szCs w:val="28"/>
        </w:rPr>
        <w:fldChar w:fldCharType="begin"/>
      </w:r>
      <w:r>
        <w:rPr>
          <w:sz w:val="28"/>
          <w:szCs w:val="28"/>
        </w:rPr>
        <w:instrText xml:space="preserve"> PAGEREF _Toc15396625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八、</w:t>
      </w:r>
      <w:r>
        <w:fldChar w:fldCharType="begin"/>
      </w:r>
      <w:r>
        <w:instrText xml:space="preserve"> HYPERLINK \l "_Toc15396626" </w:instrText>
      </w:r>
      <w:r>
        <w:fldChar w:fldCharType="separate"/>
      </w:r>
      <w:r>
        <w:rPr>
          <w:rStyle w:val="16"/>
          <w:rFonts w:hint="eastAsia"/>
          <w:sz w:val="28"/>
          <w:szCs w:val="28"/>
        </w:rPr>
        <w:t>一般公共预算财政拨款基本支出决算表</w:t>
      </w:r>
      <w:r>
        <w:rPr>
          <w:sz w:val="28"/>
          <w:szCs w:val="28"/>
        </w:rPr>
        <w:tab/>
      </w:r>
      <w:r>
        <w:rPr>
          <w:sz w:val="28"/>
          <w:szCs w:val="28"/>
        </w:rPr>
        <w:fldChar w:fldCharType="begin"/>
      </w:r>
      <w:r>
        <w:rPr>
          <w:sz w:val="28"/>
          <w:szCs w:val="28"/>
        </w:rPr>
        <w:instrText xml:space="preserve"> PAGEREF _Toc15396626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九、</w:t>
      </w:r>
      <w:r>
        <w:fldChar w:fldCharType="begin"/>
      </w:r>
      <w:r>
        <w:instrText xml:space="preserve"> HYPERLINK \l "_Toc15396627" </w:instrText>
      </w:r>
      <w:r>
        <w:fldChar w:fldCharType="separate"/>
      </w:r>
      <w:r>
        <w:rPr>
          <w:rStyle w:val="16"/>
          <w:rFonts w:hint="eastAsia"/>
          <w:sz w:val="28"/>
          <w:szCs w:val="28"/>
        </w:rPr>
        <w:t>一般公共预算财政拨款项目支出决算表</w:t>
      </w:r>
      <w:r>
        <w:rPr>
          <w:sz w:val="28"/>
          <w:szCs w:val="28"/>
        </w:rPr>
        <w:tab/>
      </w:r>
      <w:r>
        <w:rPr>
          <w:sz w:val="28"/>
          <w:szCs w:val="28"/>
        </w:rPr>
        <w:fldChar w:fldCharType="begin"/>
      </w:r>
      <w:r>
        <w:rPr>
          <w:sz w:val="28"/>
          <w:szCs w:val="28"/>
        </w:rPr>
        <w:instrText xml:space="preserve"> PAGEREF _Toc15396627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十、</w:t>
      </w:r>
      <w:r>
        <w:fldChar w:fldCharType="begin"/>
      </w:r>
      <w:r>
        <w:instrText xml:space="preserve"> HYPERLINK \l "_Toc15396628" </w:instrText>
      </w:r>
      <w:r>
        <w:fldChar w:fldCharType="separate"/>
      </w:r>
      <w:r>
        <w:rPr>
          <w:rStyle w:val="16"/>
          <w:rFonts w:hint="eastAsia"/>
          <w:sz w:val="28"/>
          <w:szCs w:val="28"/>
        </w:rPr>
        <w:t>一般公共预算财政拨款“三公”经费支出决算表</w:t>
      </w:r>
      <w:r>
        <w:rPr>
          <w:sz w:val="28"/>
          <w:szCs w:val="28"/>
        </w:rPr>
        <w:tab/>
      </w:r>
      <w:r>
        <w:rPr>
          <w:sz w:val="28"/>
          <w:szCs w:val="28"/>
        </w:rPr>
        <w:fldChar w:fldCharType="begin"/>
      </w:r>
      <w:r>
        <w:rPr>
          <w:sz w:val="28"/>
          <w:szCs w:val="28"/>
        </w:rPr>
        <w:instrText xml:space="preserve"> PAGEREF _Toc15396628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十一、</w:t>
      </w:r>
      <w:r>
        <w:fldChar w:fldCharType="begin"/>
      </w:r>
      <w:r>
        <w:instrText xml:space="preserve"> HYPERLINK \l "_Toc15396629" </w:instrText>
      </w:r>
      <w:r>
        <w:fldChar w:fldCharType="separate"/>
      </w:r>
      <w:r>
        <w:rPr>
          <w:rStyle w:val="16"/>
          <w:rFonts w:hint="eastAsia"/>
          <w:sz w:val="28"/>
          <w:szCs w:val="28"/>
        </w:rPr>
        <w:t>政府性基金预算财政拨款收入支出决算表</w:t>
      </w:r>
      <w:r>
        <w:rPr>
          <w:sz w:val="28"/>
          <w:szCs w:val="28"/>
        </w:rPr>
        <w:tab/>
      </w:r>
      <w:r>
        <w:rPr>
          <w:sz w:val="28"/>
          <w:szCs w:val="28"/>
        </w:rPr>
        <w:fldChar w:fldCharType="begin"/>
      </w:r>
      <w:r>
        <w:rPr>
          <w:sz w:val="28"/>
          <w:szCs w:val="28"/>
        </w:rPr>
        <w:instrText xml:space="preserve"> PAGEREF _Toc15396629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8"/>
          <w:szCs w:val="28"/>
        </w:rPr>
      </w:pPr>
      <w:r>
        <w:rPr>
          <w:rFonts w:hint="eastAsia"/>
          <w:sz w:val="28"/>
          <w:szCs w:val="28"/>
        </w:rPr>
        <w:t>十二、</w:t>
      </w:r>
      <w:r>
        <w:fldChar w:fldCharType="begin"/>
      </w:r>
      <w:r>
        <w:instrText xml:space="preserve"> HYPERLINK \l "_Toc15396630" </w:instrText>
      </w:r>
      <w:r>
        <w:fldChar w:fldCharType="separate"/>
      </w:r>
      <w:r>
        <w:rPr>
          <w:rStyle w:val="16"/>
          <w:rFonts w:hint="eastAsia"/>
          <w:sz w:val="28"/>
          <w:szCs w:val="28"/>
        </w:rPr>
        <w:t>政府性基金预算财政拨款“三公”经费支出决算表</w:t>
      </w:r>
      <w:r>
        <w:rPr>
          <w:sz w:val="28"/>
          <w:szCs w:val="28"/>
        </w:rPr>
        <w:tab/>
      </w:r>
      <w:r>
        <w:rPr>
          <w:sz w:val="28"/>
          <w:szCs w:val="28"/>
        </w:rPr>
        <w:fldChar w:fldCharType="begin"/>
      </w:r>
      <w:r>
        <w:rPr>
          <w:sz w:val="28"/>
          <w:szCs w:val="28"/>
        </w:rPr>
        <w:instrText xml:space="preserve"> PAGEREF _Toc15396630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p>
    <w:p>
      <w:pPr>
        <w:pStyle w:val="11"/>
        <w:ind w:left="640" w:firstLine="560"/>
        <w:rPr>
          <w:rFonts w:cstheme="minorBidi"/>
          <w:sz w:val="24"/>
        </w:rPr>
      </w:pPr>
      <w:r>
        <w:rPr>
          <w:rFonts w:hint="eastAsia"/>
          <w:sz w:val="28"/>
          <w:szCs w:val="28"/>
        </w:rPr>
        <w:t>十三、</w:t>
      </w:r>
      <w:r>
        <w:fldChar w:fldCharType="begin"/>
      </w:r>
      <w:r>
        <w:instrText xml:space="preserve"> HYPERLINK \l "_Toc15396631" </w:instrText>
      </w:r>
      <w:r>
        <w:fldChar w:fldCharType="separate"/>
      </w:r>
      <w:r>
        <w:rPr>
          <w:rStyle w:val="16"/>
          <w:rFonts w:hint="eastAsia"/>
          <w:sz w:val="28"/>
          <w:szCs w:val="28"/>
        </w:rPr>
        <w:t>国有资本经营预算支出决算表</w:t>
      </w:r>
      <w:r>
        <w:rPr>
          <w:sz w:val="28"/>
          <w:szCs w:val="28"/>
        </w:rPr>
        <w:tab/>
      </w:r>
      <w:r>
        <w:rPr>
          <w:sz w:val="28"/>
          <w:szCs w:val="28"/>
        </w:rPr>
        <w:fldChar w:fldCharType="begin"/>
      </w:r>
      <w:r>
        <w:rPr>
          <w:sz w:val="28"/>
          <w:szCs w:val="28"/>
        </w:rPr>
        <w:instrText xml:space="preserve"> PAGEREF _Toc15396631 \h </w:instrText>
      </w:r>
      <w:r>
        <w:rPr>
          <w:sz w:val="28"/>
          <w:szCs w:val="28"/>
        </w:rPr>
        <w:fldChar w:fldCharType="separate"/>
      </w:r>
      <w:r>
        <w:rPr>
          <w:sz w:val="28"/>
          <w:szCs w:val="28"/>
        </w:rPr>
        <w:t>2</w:t>
      </w:r>
      <w:r>
        <w:rPr>
          <w:rFonts w:hint="eastAsia"/>
          <w:sz w:val="28"/>
          <w:szCs w:val="28"/>
          <w:lang w:val="en-US" w:eastAsia="zh-CN"/>
        </w:rPr>
        <w:t>0</w:t>
      </w:r>
      <w:r>
        <w:rPr>
          <w:sz w:val="28"/>
          <w:szCs w:val="28"/>
        </w:rPr>
        <w:fldChar w:fldCharType="end"/>
      </w:r>
      <w:r>
        <w:rPr>
          <w:sz w:val="28"/>
          <w:szCs w:val="28"/>
        </w:rPr>
        <w:fldChar w:fldCharType="end"/>
      </w:r>
      <w:bookmarkStart w:id="76" w:name="_GoBack"/>
      <w:bookmarkEnd w:id="76"/>
    </w:p>
    <w:p>
      <w:pPr>
        <w:widowControl/>
        <w:ind w:firstLine="480"/>
        <w:jc w:val="left"/>
        <w:rPr>
          <w:sz w:val="24"/>
        </w:rPr>
      </w:pPr>
      <w:r>
        <w:rPr>
          <w:sz w:val="24"/>
        </w:rPr>
        <w:fldChar w:fldCharType="end"/>
      </w:r>
    </w:p>
    <w:p>
      <w:pPr>
        <w:widowControl/>
        <w:ind w:firstLine="480"/>
        <w:jc w:val="left"/>
        <w:rPr>
          <w:sz w:val="24"/>
        </w:rPr>
      </w:pPr>
    </w:p>
    <w:p>
      <w:pPr>
        <w:widowControl/>
        <w:ind w:firstLine="480"/>
        <w:jc w:val="left"/>
        <w:rPr>
          <w:sz w:val="24"/>
        </w:rPr>
      </w:pPr>
    </w:p>
    <w:p>
      <w:pPr>
        <w:pStyle w:val="2"/>
        <w:pageBreakBefore w:val="0"/>
        <w:widowControl w:val="0"/>
        <w:kinsoku/>
        <w:wordWrap/>
        <w:overflowPunct/>
        <w:topLinePunct w:val="0"/>
        <w:autoSpaceDE/>
        <w:autoSpaceDN/>
        <w:bidi w:val="0"/>
        <w:adjustRightInd/>
        <w:spacing w:line="560" w:lineRule="exact"/>
        <w:ind w:firstLine="1742" w:firstLineChars="396"/>
        <w:textAlignment w:val="auto"/>
      </w:pPr>
      <w:r>
        <w:rPr>
          <w:rFonts w:hint="eastAsia" w:ascii="黑体" w:hAnsi="黑体" w:eastAsia="黑体"/>
          <w:b w:val="0"/>
        </w:rPr>
        <w:t>第一部分</w:t>
      </w:r>
      <w:r>
        <w:rPr>
          <w:rFonts w:hint="eastAsia" w:ascii="黑体" w:hAnsi="黑体" w:eastAsia="黑体"/>
        </w:rPr>
        <w:t xml:space="preserve"> </w:t>
      </w:r>
      <w:r>
        <w:rPr>
          <w:rStyle w:val="25"/>
          <w:rFonts w:hint="eastAsia" w:ascii="黑体" w:hAnsi="黑体" w:eastAsia="黑体"/>
          <w:b w:val="0"/>
          <w:bCs w:val="0"/>
        </w:rPr>
        <w:t>部门概况</w:t>
      </w:r>
      <w:bookmarkEnd w:id="12"/>
      <w:bookmarkEnd w:id="13"/>
    </w:p>
    <w:p>
      <w:pPr>
        <w:pStyle w:val="3"/>
        <w:pageBreakBefore w:val="0"/>
        <w:widowControl w:val="0"/>
        <w:kinsoku/>
        <w:wordWrap/>
        <w:overflowPunct/>
        <w:topLinePunct w:val="0"/>
        <w:autoSpaceDE/>
        <w:autoSpaceDN/>
        <w:bidi w:val="0"/>
        <w:adjustRightInd/>
        <w:spacing w:line="560" w:lineRule="exact"/>
        <w:textAlignment w:val="auto"/>
        <w:rPr>
          <w:rStyle w:val="26"/>
          <w:rFonts w:ascii="黑体" w:hAnsi="黑体" w:eastAsia="黑体"/>
          <w:b w:val="0"/>
          <w:bCs w:val="0"/>
        </w:rPr>
      </w:pPr>
      <w:bookmarkStart w:id="14" w:name="_Toc15396600"/>
      <w:bookmarkStart w:id="15" w:name="_Toc15377197"/>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5"/>
        <w:pageBreakBefore w:val="0"/>
        <w:widowControl w:val="0"/>
        <w:kinsoku/>
        <w:wordWrap/>
        <w:overflowPunct/>
        <w:topLinePunct w:val="0"/>
        <w:autoSpaceDE/>
        <w:autoSpaceDN/>
        <w:bidi w:val="0"/>
        <w:adjustRightInd/>
        <w:spacing w:before="93" w:line="560" w:lineRule="exact"/>
        <w:ind w:firstLine="643"/>
        <w:textAlignment w:val="auto"/>
        <w:rPr>
          <w:rFonts w:ascii="楷体" w:hAnsi="楷体" w:eastAsia="楷体"/>
          <w:b/>
          <w:sz w:val="32"/>
        </w:rPr>
      </w:pPr>
      <w:bookmarkStart w:id="16" w:name="_Toc15378445"/>
      <w:bookmarkStart w:id="17" w:name="_Toc15377198"/>
      <w:bookmarkStart w:id="18" w:name="_Toc15378446"/>
      <w:bookmarkStart w:id="19" w:name="_Toc15377199"/>
      <w:r>
        <w:rPr>
          <w:rFonts w:hint="eastAsia" w:ascii="楷体" w:hAnsi="楷体" w:eastAsia="楷体"/>
          <w:b/>
          <w:sz w:val="32"/>
        </w:rPr>
        <w:t>（一）主要职能。</w:t>
      </w:r>
    </w:p>
    <w:p>
      <w:pPr>
        <w:pageBreakBefore w:val="0"/>
        <w:widowControl w:val="0"/>
        <w:kinsoku/>
        <w:wordWrap/>
        <w:overflowPunct/>
        <w:topLinePunct w:val="0"/>
        <w:autoSpaceDE/>
        <w:autoSpaceDN/>
        <w:bidi w:val="0"/>
        <w:adjustRightInd/>
        <w:snapToGrid w:val="0"/>
        <w:spacing w:line="560" w:lineRule="exact"/>
        <w:textAlignment w:val="auto"/>
        <w:rPr>
          <w:rFonts w:ascii="仿宋_GB2312" w:hAnsi="Times New Roman" w:eastAsia="仿宋_GB2312"/>
          <w:color w:val="auto"/>
        </w:rPr>
      </w:pPr>
      <w:r>
        <w:rPr>
          <w:rFonts w:ascii="仿宋_GB2312" w:hAnsi="Times New Roman" w:eastAsia="仿宋_GB2312"/>
          <w:color w:val="auto"/>
        </w:rPr>
        <w:t>贯彻执行举办单位及上级主管部门相关制度，完成财政信息化规划、建设和维护等工作。负责本级财政信息化规划、建设和维护等工作，指导县财政信息化工作。</w:t>
      </w:r>
    </w:p>
    <w:bookmarkEnd w:id="16"/>
    <w:bookmarkEnd w:id="17"/>
    <w:p>
      <w:pPr>
        <w:pStyle w:val="5"/>
        <w:pageBreakBefore w:val="0"/>
        <w:widowControl w:val="0"/>
        <w:kinsoku/>
        <w:wordWrap/>
        <w:overflowPunct/>
        <w:topLinePunct w:val="0"/>
        <w:autoSpaceDE/>
        <w:autoSpaceDN/>
        <w:bidi w:val="0"/>
        <w:adjustRightInd/>
        <w:spacing w:before="93" w:line="560" w:lineRule="exact"/>
        <w:ind w:firstLine="643"/>
        <w:textAlignment w:val="auto"/>
        <w:rPr>
          <w:rFonts w:ascii="楷体" w:hAnsi="楷体" w:eastAsia="楷体"/>
          <w:b/>
          <w:sz w:val="32"/>
        </w:rPr>
      </w:pPr>
      <w:r>
        <w:rPr>
          <w:rFonts w:hint="eastAsia" w:ascii="楷体" w:hAnsi="楷体" w:eastAsia="楷体"/>
          <w:b/>
          <w:sz w:val="32"/>
        </w:rPr>
        <w:t>（二）</w:t>
      </w:r>
      <w:r>
        <w:rPr>
          <w:rFonts w:ascii="楷体" w:hAnsi="楷体" w:eastAsia="楷体"/>
          <w:b/>
          <w:sz w:val="32"/>
        </w:rPr>
        <w:t>201</w:t>
      </w:r>
      <w:r>
        <w:rPr>
          <w:rFonts w:hint="eastAsia" w:ascii="楷体" w:hAnsi="楷体" w:eastAsia="楷体"/>
          <w:b/>
          <w:sz w:val="32"/>
        </w:rPr>
        <w:t>9年重点工作完成情况。</w:t>
      </w:r>
      <w:bookmarkEnd w:id="18"/>
      <w:bookmarkEnd w:id="19"/>
    </w:p>
    <w:p>
      <w:pPr>
        <w:pageBreakBefore w:val="0"/>
        <w:widowControl w:val="0"/>
        <w:kinsoku/>
        <w:wordWrap/>
        <w:overflowPunct/>
        <w:topLinePunct w:val="0"/>
        <w:autoSpaceDE/>
        <w:autoSpaceDN/>
        <w:bidi w:val="0"/>
        <w:adjustRightInd/>
        <w:snapToGrid w:val="0"/>
        <w:spacing w:line="560" w:lineRule="exact"/>
        <w:textAlignment w:val="auto"/>
        <w:rPr>
          <w:rFonts w:ascii="仿宋_GB2312" w:hAnsi="Times New Roman" w:eastAsia="仿宋_GB2312"/>
          <w:color w:val="auto"/>
        </w:rPr>
      </w:pPr>
      <w:r>
        <w:rPr>
          <w:rFonts w:hint="eastAsia" w:ascii="仿宋_GB2312" w:hAnsi="Times New Roman" w:eastAsia="仿宋_GB2312"/>
          <w:color w:val="auto"/>
        </w:rPr>
        <w:t>2019年度，阿坝州财政信息网络管理中心（以下简称“中心”）在阿坝州财政局党组领导下，依据《事业单位登记管理暂行条例》及《条例实施细则》规定，按照登记的宗旨和业务范围积极规范开展业务活动，主要内容如下： 1.金财业务专网与金财大平台维护工作。2019年中心继续做好全州金财业务专网维护保障工作，及时解决突发问题，全年未发生因网络故障造成业务工作停滞情况。继续做好金财大平台运维工作，完成2020年新帐套健设和年底系统扎帐处理，全年共处理各类平台问题几百起，保障了系统稳定运行。 2.信息公开工作。阿坝州财政局互联网网站积极公开州本级决算信息，公开的内容还包括专项资金、三公经费、政策法规、公示公告和工作动态等，并认真填报政府信息公开年度统计数据，做好信息更新及时，网站访问正常，全年共发布信息536条，其中：工作动态类信息309条，概况信息37条，政府信息公开目录信息190条。2019年，阿坝州财政局收到依申请公开申请4件，政务信箱来信4件，均已按时办结。3.财政视频会议工作。我单位在2019年完成州级视频会议系统保障和各县技术指导工作，全年共召开全国财政视频会议3次，全省财政视频会议35余次，全州财政视频会议20余次。 4.信息安全工作。按照《四川省财政厅关于开展全省财政系统网络安全检查的通知》认真细致地对网络安全、设备管理、制度建设和人员管理方面开展自查工作,及时整改.开展经常性安全检查，主要对端口开放情况、系统管理权限开放情况、访问权限开放情况等进行监控，认真检查保管系统安全日志；对重要服务器上的应用、服务、端口和链接都进行了安全检查并加固处理。做好对网络涉密信息安全的宣传教育，对全局计算机进行每半年一次的涉密信息扫描工作。全年未发生网络泄密安全事故。 5.其它工作。进一步加强对职工和网络工作人员的安全意识教育，提高做好安全工作的主动性和自觉性，增强对网络安全的防范意识。积极开展网络安全技术培训，增强安全防范意识和应对能力，提高工作人员的水平和能力，提高网络安全管理水平。及时解决全局软件、硬件故障问题，协助科室完成与信息化相关的工作，完成领导交办的其它任务，为财政业务运行提供技术支撑。</w:t>
      </w:r>
    </w:p>
    <w:p>
      <w:pPr>
        <w:pStyle w:val="3"/>
        <w:keepNext/>
        <w:keepLines/>
        <w:pageBreakBefore w:val="0"/>
        <w:widowControl w:val="0"/>
        <w:kinsoku/>
        <w:wordWrap/>
        <w:overflowPunct/>
        <w:topLinePunct w:val="0"/>
        <w:autoSpaceDE/>
        <w:autoSpaceDN/>
        <w:bidi w:val="0"/>
        <w:adjustRightInd/>
        <w:snapToGrid/>
        <w:spacing w:line="560" w:lineRule="exact"/>
        <w:textAlignment w:val="auto"/>
        <w:rPr>
          <w:rStyle w:val="26"/>
          <w:rFonts w:ascii="黑体" w:hAnsi="黑体" w:eastAsia="黑体"/>
          <w:b w:val="0"/>
          <w:bCs w:val="0"/>
        </w:rPr>
      </w:pPr>
      <w:bookmarkStart w:id="20" w:name="_Toc15396601"/>
      <w:bookmarkStart w:id="21" w:name="_Toc15377200"/>
      <w:r>
        <w:rPr>
          <w:rFonts w:hint="eastAsia" w:ascii="黑体" w:hAnsi="黑体" w:eastAsia="黑体"/>
          <w:b w:val="0"/>
        </w:rPr>
        <w:t>二、机</w:t>
      </w:r>
      <w:r>
        <w:rPr>
          <w:rStyle w:val="26"/>
          <w:rFonts w:hint="eastAsia" w:ascii="黑体" w:hAnsi="黑体" w:eastAsia="黑体"/>
          <w:b w:val="0"/>
          <w:bCs w:val="0"/>
        </w:rPr>
        <w:t>构设置</w:t>
      </w:r>
      <w:bookmarkEnd w:id="20"/>
      <w:bookmarkEnd w:id="21"/>
    </w:p>
    <w:p>
      <w:pPr>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bookmarkStart w:id="22" w:name="_Toc15396602"/>
      <w:bookmarkStart w:id="23" w:name="_Toc15377204"/>
      <w:r>
        <w:rPr>
          <w:rFonts w:hint="eastAsia" w:ascii="仿宋_GB2312" w:eastAsia="仿宋_GB2312"/>
        </w:rPr>
        <w:t>阿坝州财政信息网络管理中心直属事业单位5个，分别为阿坝州财政信息网络管理中心、阿坝州财政投资评审中心、阿坝州财政离退休干部管理办公室、阿坝州财政后勤服务中心、阿坝州财政预算编审中心，独立编制机构数1个，独立核算机构数1个。</w:t>
      </w:r>
    </w:p>
    <w:p>
      <w:pPr>
        <w:pStyle w:val="2"/>
        <w:pageBreakBefore w:val="0"/>
        <w:widowControl w:val="0"/>
        <w:kinsoku/>
        <w:wordWrap/>
        <w:overflowPunct/>
        <w:topLinePunct w:val="0"/>
        <w:autoSpaceDE/>
        <w:autoSpaceDN/>
        <w:bidi w:val="0"/>
        <w:adjustRightInd/>
        <w:snapToGrid/>
        <w:spacing w:line="560" w:lineRule="exact"/>
        <w:ind w:firstLine="880"/>
        <w:textAlignment w:val="auto"/>
      </w:pPr>
      <w:r>
        <w:rPr>
          <w:rFonts w:hint="eastAsia" w:ascii="黑体" w:hAnsi="黑体" w:eastAsia="黑体"/>
          <w:b w:val="0"/>
        </w:rPr>
        <w:t>第二部分</w:t>
      </w:r>
      <w:r>
        <w:rPr>
          <w:rStyle w:val="25"/>
          <w:rFonts w:hint="eastAsia" w:ascii="黑体" w:hAnsi="黑体" w:eastAsia="黑体"/>
          <w:b w:val="0"/>
          <w:bCs w:val="0"/>
        </w:rPr>
        <w:t>2019年度部门决算情况说明</w:t>
      </w:r>
      <w:bookmarkEnd w:id="22"/>
      <w:bookmarkEnd w:id="23"/>
    </w:p>
    <w:p>
      <w:pPr>
        <w:pStyle w:val="24"/>
        <w:pageBreakBefore w:val="0"/>
        <w:widowControl w:val="0"/>
        <w:kinsoku/>
        <w:wordWrap/>
        <w:overflowPunct/>
        <w:topLinePunct w:val="0"/>
        <w:autoSpaceDE/>
        <w:autoSpaceDN/>
        <w:bidi w:val="0"/>
        <w:adjustRightInd/>
        <w:snapToGrid/>
        <w:spacing w:line="560" w:lineRule="exact"/>
        <w:ind w:firstLine="640"/>
        <w:textAlignment w:val="auto"/>
        <w:rPr>
          <w:rStyle w:val="26"/>
          <w:rFonts w:ascii="黑体" w:hAnsi="黑体" w:eastAsia="黑体"/>
          <w:b w:val="0"/>
        </w:rPr>
      </w:pPr>
      <w:bookmarkStart w:id="24" w:name="_Toc15377205"/>
      <w:bookmarkStart w:id="25" w:name="_Toc15396603"/>
      <w:r>
        <w:rPr>
          <w:rFonts w:hint="eastAsia" w:ascii="黑体" w:hAnsi="黑体" w:eastAsia="黑体"/>
        </w:rPr>
        <w:t>一、收</w:t>
      </w:r>
      <w:r>
        <w:rPr>
          <w:rStyle w:val="26"/>
          <w:rFonts w:hint="eastAsia" w:ascii="黑体" w:hAnsi="黑体" w:eastAsia="黑体"/>
          <w:b w:val="0"/>
        </w:rPr>
        <w:t>入支出决算总体情况说明</w:t>
      </w:r>
      <w:bookmarkEnd w:id="24"/>
      <w:bookmarkEnd w:id="25"/>
    </w:p>
    <w:p>
      <w:pPr>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2019年度收、支总计467.26万元。与2018年相比，收、支总计减少46.54万元，下降9.06%。</w:t>
      </w:r>
      <w:r>
        <w:rPr>
          <w:rStyle w:val="15"/>
          <w:rFonts w:hint="eastAsia" w:ascii="仿宋_GB2312" w:eastAsia="仿宋_GB2312"/>
          <w:b w:val="0"/>
        </w:rPr>
        <w:t>其中：收入减少46.54万元，减少9.06%，支出减少46.54万元，减少9.06%。主要变动原因是：2019年我单位厉行节约，压减一般性支出。</w:t>
      </w:r>
    </w:p>
    <w:p>
      <w:r>
        <w:rPr>
          <w:rFonts w:hint="eastAsia"/>
        </w:rPr>
        <w:drawing>
          <wp:anchor distT="0" distB="0" distL="114300" distR="114300" simplePos="0" relativeHeight="251658240" behindDoc="1" locked="0" layoutInCell="1" allowOverlap="1">
            <wp:simplePos x="0" y="0"/>
            <wp:positionH relativeFrom="column">
              <wp:posOffset>485775</wp:posOffset>
            </wp:positionH>
            <wp:positionV relativeFrom="paragraph">
              <wp:posOffset>132715</wp:posOffset>
            </wp:positionV>
            <wp:extent cx="4544060" cy="2115185"/>
            <wp:effectExtent l="5080" t="4445" r="22860" b="13970"/>
            <wp:wrapNone/>
            <wp:docPr id="1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
      <w:pPr>
        <w:spacing w:line="240" w:lineRule="auto"/>
      </w:pPr>
    </w:p>
    <w:p/>
    <w:p>
      <w:pPr>
        <w:ind w:firstLine="0" w:firstLineChars="0"/>
      </w:pPr>
    </w:p>
    <w:p>
      <w:pPr>
        <w:ind w:left="0" w:leftChars="0" w:firstLine="0" w:firstLineChars="0"/>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rPr>
      </w:pPr>
      <w:r>
        <w:rPr>
          <w:rFonts w:hint="eastAsia" w:ascii="仿宋_GB2312" w:eastAsia="仿宋_GB2312"/>
        </w:rPr>
        <w:t>（图1：收、支决算总计变动情况图）（柱状图）</w:t>
      </w:r>
    </w:p>
    <w:p>
      <w:pPr>
        <w:pStyle w:val="24"/>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Style w:val="26"/>
          <w:rFonts w:ascii="黑体" w:hAnsi="黑体" w:eastAsia="黑体"/>
          <w:b w:val="0"/>
        </w:rPr>
      </w:pPr>
      <w:bookmarkStart w:id="26" w:name="_Toc15377206"/>
      <w:bookmarkStart w:id="27" w:name="_Toc15396604"/>
      <w:r>
        <w:rPr>
          <w:rFonts w:hint="eastAsia" w:ascii="黑体" w:hAnsi="黑体" w:eastAsia="黑体"/>
        </w:rPr>
        <w:t>二、收</w:t>
      </w:r>
      <w:r>
        <w:rPr>
          <w:rStyle w:val="26"/>
          <w:rFonts w:hint="eastAsia" w:ascii="黑体" w:hAnsi="黑体" w:eastAsia="黑体"/>
          <w:b w:val="0"/>
        </w:rPr>
        <w:t>入决算情况说明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2019年本年收入合计348.98万元，其中：一般公共预算财政拨款收入348.98元，占100%；</w:t>
      </w:r>
    </w:p>
    <w:p>
      <w:r>
        <w:drawing>
          <wp:anchor distT="0" distB="0" distL="114300" distR="114300" simplePos="0" relativeHeight="251664384" behindDoc="1" locked="0" layoutInCell="1" allowOverlap="1">
            <wp:simplePos x="0" y="0"/>
            <wp:positionH relativeFrom="column">
              <wp:posOffset>668020</wp:posOffset>
            </wp:positionH>
            <wp:positionV relativeFrom="paragraph">
              <wp:posOffset>42545</wp:posOffset>
            </wp:positionV>
            <wp:extent cx="4733925" cy="2085975"/>
            <wp:effectExtent l="4445" t="5080" r="5080" b="444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rPr>
      </w:pPr>
      <w:r>
        <w:rPr>
          <w:rFonts w:hint="eastAsia" w:ascii="仿宋_GB2312" w:eastAsia="仿宋_GB2312"/>
        </w:rPr>
        <w:t>（图2：收入决算结构图）（饼状图）</w:t>
      </w:r>
    </w:p>
    <w:p>
      <w:pPr>
        <w:pStyle w:val="24"/>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Style w:val="26"/>
          <w:rFonts w:ascii="黑体" w:hAnsi="黑体" w:eastAsia="黑体"/>
          <w:b w:val="0"/>
        </w:rPr>
      </w:pPr>
      <w:bookmarkStart w:id="28" w:name="_Toc15396605"/>
      <w:bookmarkStart w:id="29" w:name="_Toc15377207"/>
      <w:r>
        <w:rPr>
          <w:rFonts w:hint="eastAsia" w:ascii="黑体" w:hAnsi="黑体" w:eastAsia="黑体"/>
        </w:rPr>
        <w:t>三、支</w:t>
      </w:r>
      <w:r>
        <w:rPr>
          <w:rStyle w:val="26"/>
          <w:rFonts w:hint="eastAsia" w:ascii="黑体" w:hAnsi="黑体" w:eastAsia="黑体"/>
          <w:b w:val="0"/>
        </w:rPr>
        <w:t>出决算情况说明</w:t>
      </w:r>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2019年本年支出合计467.26万元，其中：基本支出467.26万元，占100%；无项目支出。</w:t>
      </w:r>
    </w:p>
    <w:p>
      <w:r>
        <w:drawing>
          <wp:anchor distT="0" distB="0" distL="114300" distR="114300" simplePos="0" relativeHeight="251660288" behindDoc="1" locked="0" layoutInCell="1" allowOverlap="1">
            <wp:simplePos x="0" y="0"/>
            <wp:positionH relativeFrom="column">
              <wp:posOffset>467995</wp:posOffset>
            </wp:positionH>
            <wp:positionV relativeFrom="paragraph">
              <wp:posOffset>191770</wp:posOffset>
            </wp:positionV>
            <wp:extent cx="4648200" cy="2152650"/>
            <wp:effectExtent l="19050" t="0" r="19050" b="0"/>
            <wp:wrapNone/>
            <wp:docPr id="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
    <w:p/>
    <w:p>
      <w:pPr>
        <w:ind w:firstLine="0" w:firstLineChars="0"/>
      </w:pPr>
    </w:p>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pPr>
      <w:r>
        <w:rPr>
          <w:rFonts w:hint="eastAsia" w:ascii="仿宋_GB2312" w:eastAsia="仿宋_GB2312"/>
        </w:rPr>
        <w:t>（</w:t>
      </w:r>
      <w:r>
        <w:rPr>
          <w:rFonts w:hint="eastAsia" w:ascii="仿宋_GB2312" w:eastAsia="仿宋_GB2312"/>
        </w:rPr>
        <w:t>图3：支出决算结构图）（饼状图）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26"/>
          <w:rFonts w:ascii="黑体" w:hAnsi="黑体" w:eastAsia="黑体"/>
          <w:b w:val="0"/>
        </w:rPr>
      </w:pPr>
      <w:bookmarkStart w:id="30" w:name="_Toc15377208"/>
      <w:bookmarkStart w:id="31" w:name="_Toc15396606"/>
      <w:r>
        <w:rPr>
          <w:rFonts w:hint="eastAsia" w:ascii="黑体" w:hAnsi="黑体" w:eastAsia="黑体"/>
        </w:rPr>
        <w:t>四、财</w:t>
      </w:r>
      <w:r>
        <w:rPr>
          <w:rStyle w:val="26"/>
          <w:rFonts w:hint="eastAsia" w:ascii="黑体" w:hAnsi="黑体" w:eastAsia="黑体"/>
          <w:b w:val="0"/>
        </w:rPr>
        <w:t>政拨款收入支出决算总体情况说明</w:t>
      </w:r>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2019年财政拨款收、支总计467.26万元。与2018年相比，财政拨款收、支总计减少46.54万元，下降9.06%。</w:t>
      </w:r>
      <w:r>
        <w:rPr>
          <w:rStyle w:val="15"/>
          <w:rFonts w:hint="eastAsia" w:ascii="仿宋_GB2312" w:eastAsia="仿宋_GB2312"/>
          <w:b w:val="0"/>
        </w:rPr>
        <w:t>其中：收入减少46.54万元，减少9.06%，支出减少41.48万元，减少8.15%。主要变动原因是：2019年我单位厉行节约，压减一般性支出。</w:t>
      </w:r>
    </w:p>
    <w:p>
      <w:r>
        <w:rPr>
          <w:rFonts w:hint="eastAsia"/>
        </w:rPr>
        <w:drawing>
          <wp:anchor distT="0" distB="0" distL="114300" distR="114300" simplePos="0" relativeHeight="251661312" behindDoc="1" locked="0" layoutInCell="1" allowOverlap="1">
            <wp:simplePos x="0" y="0"/>
            <wp:positionH relativeFrom="column">
              <wp:posOffset>438150</wp:posOffset>
            </wp:positionH>
            <wp:positionV relativeFrom="paragraph">
              <wp:posOffset>227965</wp:posOffset>
            </wp:positionV>
            <wp:extent cx="4572000" cy="2743200"/>
            <wp:effectExtent l="19050" t="0" r="19050" b="0"/>
            <wp:wrapNone/>
            <wp:docPr id="2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rPr>
      </w:pPr>
      <w:r>
        <w:rPr>
          <w:rFonts w:hint="eastAsia" w:ascii="仿宋_GB2312" w:eastAsia="仿宋_GB2312"/>
        </w:rPr>
        <w:t>（图4：财政拨款收、支决算总计变动情况）（柱状图）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26"/>
          <w:rFonts w:ascii="黑体" w:hAnsi="黑体" w:eastAsia="黑体"/>
          <w:b w:val="0"/>
        </w:rPr>
      </w:pPr>
      <w:bookmarkStart w:id="32" w:name="_Toc15377209"/>
      <w:bookmarkStart w:id="33" w:name="_Toc15396607"/>
      <w:r>
        <w:rPr>
          <w:rFonts w:hint="eastAsia" w:ascii="黑体" w:hAnsi="黑体" w:eastAsia="黑体"/>
        </w:rPr>
        <w:t>五、</w:t>
      </w:r>
      <w:r>
        <w:rPr>
          <w:rFonts w:hint="eastAsia" w:ascii="黑体" w:hAnsi="黑体" w:eastAsia="黑体"/>
          <w:b/>
        </w:rPr>
        <w:t>一</w:t>
      </w:r>
      <w:r>
        <w:rPr>
          <w:rStyle w:val="26"/>
          <w:rFonts w:hint="eastAsia" w:ascii="黑体" w:hAnsi="黑体" w:eastAsia="黑体"/>
          <w:b w:val="0"/>
        </w:rPr>
        <w:t>般公共预算财政拨款支出决算情况说明</w:t>
      </w:r>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楷体" w:hAnsi="楷体" w:eastAsia="楷体"/>
          <w:b/>
        </w:rPr>
      </w:pPr>
      <w:bookmarkStart w:id="34" w:name="_Toc15377210"/>
      <w:r>
        <w:rPr>
          <w:rFonts w:hint="eastAsia" w:ascii="楷体" w:hAnsi="楷体" w:eastAsia="楷体"/>
          <w:b/>
        </w:rPr>
        <w:t>（一）一般公共预算财政拨款支出决算总体情况</w:t>
      </w:r>
      <w:bookmarkEnd w:id="34"/>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2019 年一般公共预算财政拨款支出467.26万元，占本年支出合计的 100.00%。与2018年相比，一般公共预算财政拨款增加 -41.48万元，增长-8.15%。主要变动原因是</w:t>
      </w:r>
      <w:r>
        <w:rPr>
          <w:rStyle w:val="15"/>
          <w:rFonts w:hint="eastAsia" w:ascii="仿宋_GB2312" w:eastAsia="仿宋_GB2312"/>
          <w:b w:val="0"/>
        </w:rPr>
        <w:t>2019年我单位厉行节约，压减一般性支出。</w:t>
      </w:r>
    </w:p>
    <w:p>
      <w:pPr>
        <w:pStyle w:val="12"/>
        <w:shd w:val="clear" w:color="auto" w:fill="FFFFFF"/>
        <w:spacing w:before="93"/>
        <w:ind w:firstLine="240" w:firstLineChars="100"/>
      </w:pPr>
      <w:r>
        <w:drawing>
          <wp:inline distT="0" distB="0" distL="0" distR="0">
            <wp:extent cx="5067300" cy="3124200"/>
            <wp:effectExtent l="19050" t="0" r="19050" b="0"/>
            <wp:docPr id="2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rPr>
      </w:pPr>
      <w:r>
        <w:rPr>
          <w:rFonts w:hint="eastAsia" w:ascii="仿宋_GB2312" w:eastAsia="仿宋_GB2312"/>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楷体" w:hAnsi="楷体" w:eastAsia="楷体"/>
          <w:b/>
        </w:rPr>
      </w:pPr>
      <w:bookmarkStart w:id="35" w:name="_Toc15377211"/>
      <w:r>
        <w:rPr>
          <w:rFonts w:hint="eastAsia" w:ascii="楷体" w:hAnsi="楷体" w:eastAsia="楷体"/>
          <w:b/>
        </w:rPr>
        <w:t>（二）一般公共预算财政拨款支出决算结构情况</w:t>
      </w:r>
      <w:bookmarkEnd w:id="35"/>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2019年一般公共预算财政拨款支出467.26万元，主要用于以下方面:</w:t>
      </w:r>
      <w:r>
        <w:rPr>
          <w:rFonts w:hint="eastAsia"/>
          <w:b/>
        </w:rPr>
        <w:t>一般公共服务（类）支出</w:t>
      </w:r>
      <w:r>
        <w:rPr>
          <w:rFonts w:ascii="仿宋_GB2312" w:eastAsia="仿宋_GB2312"/>
        </w:rPr>
        <w:t>395.97</w:t>
      </w:r>
      <w:r>
        <w:rPr>
          <w:rFonts w:hint="eastAsia" w:ascii="仿宋_GB2312" w:eastAsia="仿宋_GB2312"/>
        </w:rPr>
        <w:t>万元，占</w:t>
      </w:r>
      <w:r>
        <w:rPr>
          <w:rFonts w:ascii="仿宋_GB2312" w:eastAsia="仿宋_GB2312"/>
        </w:rPr>
        <w:t>84.74</w:t>
      </w:r>
      <w:r>
        <w:rPr>
          <w:rFonts w:hint="eastAsia" w:ascii="仿宋_GB2312" w:eastAsia="仿宋_GB2312"/>
        </w:rPr>
        <w:t>%；</w:t>
      </w:r>
      <w:r>
        <w:rPr>
          <w:rFonts w:hint="eastAsia"/>
          <w:b/>
        </w:rPr>
        <w:t>社会保障和就业（类）</w:t>
      </w:r>
      <w:r>
        <w:rPr>
          <w:rFonts w:hint="eastAsia" w:ascii="仿宋_GB2312" w:eastAsia="仿宋_GB2312"/>
        </w:rPr>
        <w:t>支出</w:t>
      </w:r>
      <w:r>
        <w:rPr>
          <w:rFonts w:ascii="仿宋_GB2312" w:eastAsia="仿宋_GB2312"/>
        </w:rPr>
        <w:t>2.21</w:t>
      </w:r>
      <w:r>
        <w:rPr>
          <w:rFonts w:hint="eastAsia" w:ascii="仿宋_GB2312" w:eastAsia="仿宋_GB2312"/>
        </w:rPr>
        <w:t>万元，占</w:t>
      </w:r>
      <w:r>
        <w:rPr>
          <w:rFonts w:ascii="仿宋_GB2312" w:eastAsia="仿宋_GB2312"/>
        </w:rPr>
        <w:t>0.47</w:t>
      </w:r>
      <w:r>
        <w:rPr>
          <w:rFonts w:hint="eastAsia" w:ascii="仿宋_GB2312" w:eastAsia="仿宋_GB2312"/>
        </w:rPr>
        <w:t>%；</w:t>
      </w:r>
      <w:r>
        <w:rPr>
          <w:rFonts w:hint="eastAsia"/>
          <w:b/>
        </w:rPr>
        <w:t>卫生健康支出</w:t>
      </w:r>
      <w:r>
        <w:rPr>
          <w:rFonts w:ascii="仿宋_GB2312" w:eastAsia="仿宋_GB2312"/>
          <w:b/>
        </w:rPr>
        <w:t>（类）</w:t>
      </w:r>
      <w:r>
        <w:rPr>
          <w:rFonts w:ascii="仿宋_GB2312" w:eastAsia="仿宋_GB2312"/>
        </w:rPr>
        <w:t>24.51</w:t>
      </w:r>
      <w:r>
        <w:rPr>
          <w:rFonts w:hint="eastAsia" w:ascii="仿宋_GB2312" w:eastAsia="仿宋_GB2312"/>
        </w:rPr>
        <w:t>万元，占</w:t>
      </w:r>
      <w:r>
        <w:rPr>
          <w:rFonts w:ascii="仿宋_GB2312" w:eastAsia="仿宋_GB2312"/>
        </w:rPr>
        <w:t>5.25</w:t>
      </w:r>
      <w:r>
        <w:rPr>
          <w:rFonts w:hint="eastAsia" w:ascii="仿宋_GB2312" w:eastAsia="仿宋_GB2312"/>
        </w:rPr>
        <w:t>%；</w:t>
      </w:r>
      <w:r>
        <w:rPr>
          <w:rFonts w:hint="eastAsia"/>
          <w:b/>
        </w:rPr>
        <w:t>住房保障支出（类）</w:t>
      </w:r>
      <w:r>
        <w:rPr>
          <w:rFonts w:ascii="仿宋_GB2312" w:eastAsia="仿宋_GB2312"/>
        </w:rPr>
        <w:t>44.57</w:t>
      </w:r>
      <w:r>
        <w:rPr>
          <w:rFonts w:hint="eastAsia" w:ascii="仿宋_GB2312" w:eastAsia="仿宋_GB2312"/>
        </w:rPr>
        <w:t>万元，占</w:t>
      </w:r>
      <w:r>
        <w:rPr>
          <w:rFonts w:ascii="仿宋_GB2312" w:eastAsia="仿宋_GB2312"/>
        </w:rPr>
        <w:t>9.54</w:t>
      </w:r>
      <w:r>
        <w:rPr>
          <w:rFonts w:hint="eastAsia" w:ascii="仿宋_GB2312" w:eastAsia="仿宋_GB2312"/>
        </w:rPr>
        <w:t>%。</w:t>
      </w:r>
    </w:p>
    <w:p>
      <w:pPr>
        <w:pStyle w:val="12"/>
        <w:shd w:val="clear" w:color="auto" w:fill="FFFFFF"/>
        <w:spacing w:before="93"/>
        <w:ind w:firstLine="600"/>
      </w:pPr>
      <w:r>
        <w:drawing>
          <wp:inline distT="0" distB="0" distL="0" distR="0">
            <wp:extent cx="4514850" cy="2686050"/>
            <wp:effectExtent l="19050" t="0" r="19050" b="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2"/>
        <w:keepNext w:val="0"/>
        <w:keepLines w:val="0"/>
        <w:pageBreakBefore w:val="0"/>
        <w:widowControl/>
        <w:shd w:val="clear" w:color="auto" w:fill="FFFFFF"/>
        <w:kinsoku/>
        <w:wordWrap/>
        <w:overflowPunct/>
        <w:topLinePunct w:val="0"/>
        <w:autoSpaceDE/>
        <w:autoSpaceDN/>
        <w:bidi w:val="0"/>
        <w:adjustRightInd/>
        <w:snapToGrid/>
        <w:spacing w:before="93" w:line="560" w:lineRule="exact"/>
        <w:ind w:firstLine="601"/>
        <w:textAlignment w:val="auto"/>
        <w:rPr>
          <w:rFonts w:ascii="仿宋_GB2312" w:hAnsi="仿宋" w:eastAsia="仿宋_GB2312" w:cs="Times New Roman"/>
          <w:color w:val="000000"/>
          <w:kern w:val="2"/>
          <w:sz w:val="32"/>
          <w:szCs w:val="32"/>
          <w:lang w:val="en-US" w:eastAsia="zh-CN" w:bidi="ar-SA"/>
        </w:rPr>
      </w:pPr>
      <w:r>
        <w:t> </w:t>
      </w:r>
      <w:r>
        <w:rPr>
          <w:rFonts w:hint="eastAsia" w:ascii="仿宋_GB2312" w:hAnsi="仿宋" w:eastAsia="仿宋_GB2312" w:cs="Times New Roman"/>
          <w:color w:val="000000"/>
          <w:kern w:val="2"/>
          <w:sz w:val="32"/>
          <w:szCs w:val="32"/>
          <w:lang w:val="en-US" w:eastAsia="zh-CN" w:bidi="ar-SA"/>
        </w:rPr>
        <w:t>（图6：一般公共预算财政拨款支出决算结构）（饼状图）</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 w:hAnsi="楷体" w:eastAsia="楷体"/>
          <w:b/>
        </w:rPr>
      </w:pPr>
      <w:bookmarkStart w:id="36" w:name="_Toc15377212"/>
      <w:r>
        <w:rPr>
          <w:rFonts w:hint="eastAsia" w:ascii="楷体" w:hAnsi="楷体" w:eastAsia="楷体"/>
          <w:b/>
        </w:rPr>
        <w:t>（三）一般公共预算财政拨款支出决算具体情况</w:t>
      </w:r>
      <w:bookmarkEnd w:id="36"/>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FF0000"/>
        </w:rPr>
      </w:pPr>
      <w:bookmarkStart w:id="37" w:name="_Toc15377213"/>
      <w:bookmarkStart w:id="38" w:name="_Toc15378460"/>
      <w:bookmarkStart w:id="39" w:name="_Toc15377444"/>
      <w:r>
        <w:rPr>
          <w:rFonts w:hint="eastAsia" w:ascii="仿宋_GB2312" w:eastAsia="仿宋_GB2312"/>
        </w:rPr>
        <w:t>2019年般公共预算支出决算数为467.26，</w:t>
      </w:r>
      <w:r>
        <w:rPr>
          <w:rStyle w:val="15"/>
          <w:rFonts w:hint="eastAsia" w:ascii="仿宋_GB2312" w:eastAsia="仿宋_GB2312"/>
          <w:bCs/>
          <w:color w:val="000000" w:themeColor="text1"/>
        </w:rPr>
        <w:t>完成</w:t>
      </w:r>
      <w:r>
        <w:rPr>
          <w:rStyle w:val="15"/>
          <w:rFonts w:hint="eastAsia" w:ascii="仿宋_GB2312" w:eastAsia="仿宋_GB2312"/>
          <w:bCs/>
        </w:rPr>
        <w:t>预算100%。其中：</w:t>
      </w:r>
      <w:bookmarkEnd w:id="37"/>
      <w:bookmarkEnd w:id="38"/>
      <w:bookmarkEnd w:id="39"/>
    </w:p>
    <w:p>
      <w:pPr>
        <w:keepNext w:val="0"/>
        <w:keepLines w:val="0"/>
        <w:pageBreakBefore w:val="0"/>
        <w:kinsoku/>
        <w:wordWrap/>
        <w:overflowPunct/>
        <w:topLinePunct w:val="0"/>
        <w:autoSpaceDE/>
        <w:autoSpaceDN/>
        <w:bidi w:val="0"/>
        <w:adjustRightInd/>
        <w:snapToGrid/>
        <w:spacing w:line="560" w:lineRule="exact"/>
        <w:ind w:firstLine="643"/>
        <w:textAlignment w:val="auto"/>
        <w:rPr>
          <w:rStyle w:val="15"/>
          <w:rFonts w:ascii="仿宋_GB2312" w:eastAsia="仿宋_GB2312"/>
          <w:b w:val="0"/>
          <w:bCs/>
        </w:rPr>
      </w:pPr>
      <w:r>
        <w:rPr>
          <w:rStyle w:val="15"/>
          <w:rFonts w:hint="eastAsia" w:ascii="仿宋_GB2312" w:eastAsia="仿宋_GB2312"/>
          <w:bCs/>
        </w:rPr>
        <w:t>1. 一般公共服务（类）财政事务（款）事业运行（项）:</w:t>
      </w:r>
      <w:r>
        <w:rPr>
          <w:rStyle w:val="15"/>
          <w:rFonts w:hint="eastAsia" w:ascii="仿宋_GB2312" w:eastAsia="仿宋_GB2312"/>
          <w:b w:val="0"/>
          <w:bCs/>
        </w:rPr>
        <w:t>支出决算为395.97万元，完成预算100%，决算数与预算数持平。</w:t>
      </w:r>
    </w:p>
    <w:p>
      <w:pPr>
        <w:keepNext w:val="0"/>
        <w:keepLines w:val="0"/>
        <w:pageBreakBefore w:val="0"/>
        <w:kinsoku/>
        <w:wordWrap/>
        <w:overflowPunct/>
        <w:topLinePunct w:val="0"/>
        <w:autoSpaceDE/>
        <w:autoSpaceDN/>
        <w:bidi w:val="0"/>
        <w:adjustRightInd/>
        <w:snapToGrid/>
        <w:spacing w:line="560" w:lineRule="exact"/>
        <w:ind w:firstLine="643"/>
        <w:textAlignment w:val="auto"/>
        <w:rPr>
          <w:rStyle w:val="15"/>
          <w:rFonts w:ascii="仿宋_GB2312" w:eastAsia="仿宋_GB2312"/>
          <w:bCs/>
        </w:rPr>
      </w:pPr>
      <w:r>
        <w:rPr>
          <w:rStyle w:val="15"/>
          <w:rFonts w:hint="eastAsia" w:ascii="仿宋_GB2312" w:eastAsia="仿宋_GB2312"/>
          <w:bCs/>
        </w:rPr>
        <w:t>2.社会保障和就业（类）行政事业单位离退休（款）机关事业单位基本养老保险缴费支出（项）:</w:t>
      </w:r>
      <w:r>
        <w:rPr>
          <w:rStyle w:val="15"/>
          <w:rFonts w:hint="eastAsia" w:ascii="仿宋_GB2312" w:eastAsia="仿宋_GB2312"/>
          <w:b w:val="0"/>
          <w:bCs/>
        </w:rPr>
        <w:t>支出决算为1.68万元，完成预算100%，决算数与预算数持平。</w:t>
      </w:r>
    </w:p>
    <w:p>
      <w:pPr>
        <w:keepNext w:val="0"/>
        <w:keepLines w:val="0"/>
        <w:pageBreakBefore w:val="0"/>
        <w:kinsoku/>
        <w:wordWrap/>
        <w:overflowPunct/>
        <w:topLinePunct w:val="0"/>
        <w:autoSpaceDE/>
        <w:autoSpaceDN/>
        <w:bidi w:val="0"/>
        <w:adjustRightInd/>
        <w:snapToGrid/>
        <w:spacing w:line="560" w:lineRule="exact"/>
        <w:ind w:firstLine="643"/>
        <w:textAlignment w:val="auto"/>
        <w:rPr>
          <w:rStyle w:val="15"/>
          <w:rFonts w:ascii="仿宋_GB2312" w:eastAsia="仿宋_GB2312"/>
          <w:b w:val="0"/>
          <w:bCs/>
        </w:rPr>
      </w:pPr>
      <w:r>
        <w:rPr>
          <w:rStyle w:val="15"/>
          <w:rFonts w:hint="eastAsia" w:ascii="仿宋_GB2312" w:eastAsia="仿宋_GB2312"/>
          <w:bCs/>
        </w:rPr>
        <w:t>3. 社会保障和就业（类）社会保障和就业（款）机关事业单位职业年金缴费支出（项）:</w:t>
      </w:r>
      <w:r>
        <w:rPr>
          <w:rStyle w:val="15"/>
          <w:rFonts w:hint="eastAsia" w:ascii="仿宋_GB2312" w:eastAsia="仿宋_GB2312"/>
          <w:b w:val="0"/>
          <w:bCs/>
        </w:rPr>
        <w:t>支出决算为0.53元，完成预算100%，决算数与预算数持平。</w:t>
      </w:r>
    </w:p>
    <w:p>
      <w:pPr>
        <w:keepNext w:val="0"/>
        <w:keepLines w:val="0"/>
        <w:pageBreakBefore w:val="0"/>
        <w:kinsoku/>
        <w:wordWrap/>
        <w:overflowPunct/>
        <w:topLinePunct w:val="0"/>
        <w:autoSpaceDE/>
        <w:autoSpaceDN/>
        <w:bidi w:val="0"/>
        <w:adjustRightInd/>
        <w:snapToGrid/>
        <w:spacing w:line="560" w:lineRule="exact"/>
        <w:ind w:firstLine="643"/>
        <w:textAlignment w:val="auto"/>
        <w:rPr>
          <w:rStyle w:val="15"/>
          <w:rFonts w:ascii="仿宋_GB2312" w:eastAsia="仿宋_GB2312"/>
          <w:b w:val="0"/>
          <w:bCs/>
        </w:rPr>
      </w:pPr>
      <w:r>
        <w:rPr>
          <w:rStyle w:val="15"/>
          <w:rFonts w:hint="eastAsia" w:ascii="仿宋_GB2312" w:eastAsia="仿宋_GB2312"/>
          <w:bCs/>
        </w:rPr>
        <w:t>4. 医疗卫生与计划生育（类）行政事业单位（款）事业单位医疗（项）:</w:t>
      </w:r>
      <w:r>
        <w:rPr>
          <w:rStyle w:val="15"/>
          <w:rFonts w:hint="eastAsia" w:ascii="仿宋_GB2312" w:eastAsia="仿宋_GB2312"/>
          <w:b w:val="0"/>
          <w:bCs/>
        </w:rPr>
        <w:t>支出决算为20.40万元，完成预算100%，决算数与预算数持平。</w:t>
      </w:r>
    </w:p>
    <w:p>
      <w:pPr>
        <w:keepNext w:val="0"/>
        <w:keepLines w:val="0"/>
        <w:pageBreakBefore w:val="0"/>
        <w:kinsoku/>
        <w:wordWrap/>
        <w:overflowPunct/>
        <w:topLinePunct w:val="0"/>
        <w:autoSpaceDE/>
        <w:autoSpaceDN/>
        <w:bidi w:val="0"/>
        <w:adjustRightInd/>
        <w:snapToGrid/>
        <w:spacing w:line="560" w:lineRule="exact"/>
        <w:ind w:firstLine="643"/>
        <w:textAlignment w:val="auto"/>
        <w:rPr>
          <w:rStyle w:val="15"/>
          <w:rFonts w:ascii="仿宋_GB2312" w:eastAsia="仿宋_GB2312"/>
          <w:b w:val="0"/>
          <w:bCs/>
        </w:rPr>
      </w:pPr>
      <w:r>
        <w:rPr>
          <w:rStyle w:val="15"/>
          <w:rFonts w:hint="eastAsia" w:ascii="仿宋_GB2312" w:eastAsia="仿宋_GB2312"/>
          <w:bCs/>
        </w:rPr>
        <w:t>5. 医疗卫生与计划生育（类）行政事业单位（款）其他行政事业单位医疗支出（项）:</w:t>
      </w:r>
      <w:r>
        <w:rPr>
          <w:rStyle w:val="15"/>
          <w:rFonts w:hint="eastAsia" w:ascii="仿宋_GB2312" w:eastAsia="仿宋_GB2312"/>
          <w:b w:val="0"/>
          <w:bCs/>
        </w:rPr>
        <w:t>支出决算为4.11万元，完成预算100%，决算数与预算数持平。</w:t>
      </w:r>
    </w:p>
    <w:p>
      <w:pPr>
        <w:keepNext w:val="0"/>
        <w:keepLines w:val="0"/>
        <w:pageBreakBefore w:val="0"/>
        <w:kinsoku/>
        <w:wordWrap/>
        <w:overflowPunct/>
        <w:topLinePunct w:val="0"/>
        <w:autoSpaceDE/>
        <w:autoSpaceDN/>
        <w:bidi w:val="0"/>
        <w:adjustRightInd/>
        <w:snapToGrid/>
        <w:spacing w:line="560" w:lineRule="exact"/>
        <w:ind w:firstLine="643"/>
        <w:textAlignment w:val="auto"/>
        <w:rPr>
          <w:rStyle w:val="15"/>
          <w:rFonts w:ascii="仿宋_GB2312" w:eastAsia="仿宋_GB2312"/>
        </w:rPr>
      </w:pPr>
      <w:r>
        <w:rPr>
          <w:rStyle w:val="15"/>
          <w:rFonts w:hint="eastAsia" w:ascii="仿宋_GB2312" w:eastAsia="仿宋_GB2312"/>
          <w:bCs/>
        </w:rPr>
        <w:t>6.住房保障支出（类）住房改革支出（款）住房公积金（项）:</w:t>
      </w:r>
      <w:r>
        <w:rPr>
          <w:rStyle w:val="15"/>
          <w:rFonts w:hint="eastAsia" w:ascii="仿宋_GB2312" w:eastAsia="仿宋_GB2312"/>
          <w:b w:val="0"/>
          <w:bCs/>
        </w:rPr>
        <w:t>支出决算为44.57万元，完成预算100%，决算数与预算数持平。</w:t>
      </w:r>
    </w:p>
    <w:p>
      <w:pPr>
        <w:keepNext w:val="0"/>
        <w:keepLines w:val="0"/>
        <w:pageBreakBefore w:val="0"/>
        <w:kinsoku/>
        <w:wordWrap/>
        <w:overflowPunct/>
        <w:topLinePunct w:val="0"/>
        <w:autoSpaceDE/>
        <w:autoSpaceDN/>
        <w:bidi w:val="0"/>
        <w:adjustRightInd/>
        <w:snapToGrid/>
        <w:spacing w:line="560" w:lineRule="exact"/>
        <w:textAlignment w:val="auto"/>
        <w:rPr>
          <w:rStyle w:val="26"/>
          <w:rFonts w:ascii="黑体" w:hAnsi="黑体" w:eastAsia="黑体"/>
        </w:rPr>
      </w:pPr>
      <w:bookmarkStart w:id="40" w:name="_Toc15377214"/>
      <w:bookmarkStart w:id="41" w:name="_Toc15396608"/>
      <w:r>
        <w:rPr>
          <w:rFonts w:hint="eastAsia" w:ascii="黑体" w:hAnsi="黑体" w:eastAsia="黑体"/>
        </w:rPr>
        <w:t>六</w:t>
      </w:r>
      <w:r>
        <w:rPr>
          <w:rFonts w:hint="eastAsia" w:ascii="黑体" w:hAnsi="黑体" w:eastAsia="黑体"/>
          <w:b/>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2019年一般公共预算财政拨款基本支出467.26万元，其中：</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人员经费423.66万元，主要包括：基本工资98.50万元、津贴补贴202.95万元、伙食补助费2.38万元、绩效工资32.82万元、机关事业单位基本养老保险缴费1.68万元、职业年金缴费0.53万元、职工基本医疗保险缴费24.51万元、其他社会保障缴费0.39万元、生活补助10.60万元、医疗费4.73万元、住房公积金44.57万元。</w:t>
      </w:r>
      <w:r>
        <w:rPr>
          <w:rFonts w:hint="eastAsia" w:ascii="仿宋_GB2312" w:eastAsia="仿宋_GB2312"/>
        </w:rPr>
        <w:br w:type="textWrapping"/>
      </w:r>
      <w:r>
        <w:rPr>
          <w:rFonts w:hint="eastAsia" w:ascii="仿宋_GB2312" w:eastAsia="仿宋_GB2312"/>
        </w:rPr>
        <w:t>　　日常公用经费43.58万元，主要包括：办公费1.78万元、手续费0.06万元、水费0.35万元、电费1.70万元、邮电费0.86万元、物业管理费6.67万元、差旅费25.20万元、维修（护）费0.12万元、租赁费1.32万元、培训费1.00万元、公务接待费0.41万元、劳务费0.30万元、其他交通费3.20万元、其他商品和服务支出0.61万元。</w:t>
      </w:r>
    </w:p>
    <w:p>
      <w:pPr>
        <w:keepNext w:val="0"/>
        <w:keepLines w:val="0"/>
        <w:pageBreakBefore w:val="0"/>
        <w:kinsoku/>
        <w:wordWrap/>
        <w:overflowPunct/>
        <w:topLinePunct w:val="0"/>
        <w:autoSpaceDE/>
        <w:autoSpaceDN/>
        <w:bidi w:val="0"/>
        <w:adjustRightInd/>
        <w:snapToGrid/>
        <w:spacing w:line="560" w:lineRule="exact"/>
        <w:textAlignment w:val="auto"/>
        <w:rPr>
          <w:rStyle w:val="26"/>
          <w:rFonts w:ascii="黑体" w:hAnsi="黑体" w:eastAsia="黑体"/>
          <w:b w:val="0"/>
        </w:rPr>
      </w:pPr>
      <w:bookmarkStart w:id="42" w:name="_Toc15377215"/>
      <w:bookmarkStart w:id="43" w:name="_Toc15396609"/>
      <w:r>
        <w:rPr>
          <w:rFonts w:hint="eastAsia" w:ascii="黑体" w:hAnsi="黑体" w:eastAsia="黑体"/>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 w:hAnsi="楷体" w:eastAsia="楷体"/>
          <w:b/>
        </w:rPr>
      </w:pPr>
      <w:bookmarkStart w:id="44" w:name="_Toc15377216"/>
      <w:r>
        <w:rPr>
          <w:rFonts w:hint="eastAsia" w:ascii="楷体" w:hAnsi="楷体" w:eastAsia="楷体"/>
          <w:b/>
        </w:rPr>
        <w:t>（一）“三公”经费财政拨款支出决算总体情况说明</w:t>
      </w:r>
      <w:bookmarkEnd w:id="44"/>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2019年“三公”经费财政拨款支出决算为0.41万元，完成预算100%，决算数与预算数持平。</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 w:hAnsi="楷体" w:eastAsia="楷体"/>
          <w:b/>
        </w:rPr>
      </w:pPr>
      <w:bookmarkStart w:id="45" w:name="_Toc15377217"/>
      <w:r>
        <w:rPr>
          <w:rFonts w:hint="eastAsia" w:ascii="楷体" w:hAnsi="楷体" w:eastAsia="楷体"/>
          <w:b/>
        </w:rPr>
        <w:t>（二）“三公”经费财政拨款支出决算具体情况说明</w:t>
      </w:r>
      <w:bookmarkEnd w:id="45"/>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2019年“三公”经费财政拨款支出决算中，无因公出国（境）费；无公务用车购置及运行维护费；公务接待费支出决算0.41万元，占100%。具体情况如下：</w:t>
      </w:r>
    </w:p>
    <w:p>
      <w:r>
        <w:drawing>
          <wp:anchor distT="0" distB="0" distL="114300" distR="114300" simplePos="0" relativeHeight="251663360" behindDoc="1" locked="0" layoutInCell="1" allowOverlap="1">
            <wp:simplePos x="0" y="0"/>
            <wp:positionH relativeFrom="column">
              <wp:posOffset>428625</wp:posOffset>
            </wp:positionH>
            <wp:positionV relativeFrom="paragraph">
              <wp:posOffset>85090</wp:posOffset>
            </wp:positionV>
            <wp:extent cx="4572000" cy="2743200"/>
            <wp:effectExtent l="19050" t="0" r="19050" b="0"/>
            <wp:wrapNone/>
            <wp:docPr id="23"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
    <w:p/>
    <w:p/>
    <w:p/>
    <w:p/>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（图7：“三公”经费财政拨款支出结构）（饼状图）</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eastAsia="仿宋_GB2312"/>
          <w:b/>
        </w:rPr>
      </w:pPr>
      <w:r>
        <w:rPr>
          <w:rFonts w:hint="eastAsia" w:ascii="仿宋_GB2312" w:eastAsia="仿宋_GB2312"/>
          <w:b/>
        </w:rPr>
        <w:t>1.无因公出国（境）经费支出</w:t>
      </w:r>
      <w:r>
        <w:rPr>
          <w:rFonts w:hint="eastAsia" w:ascii="仿宋_GB2312" w:eastAsia="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eastAsia="仿宋_GB2312"/>
          <w:b/>
        </w:rPr>
      </w:pPr>
      <w:r>
        <w:rPr>
          <w:rFonts w:hint="eastAsia" w:ascii="仿宋_GB2312" w:eastAsia="仿宋_GB2312"/>
          <w:b/>
        </w:rPr>
        <w:t>2.无公务用车购置及运行维护费支出</w:t>
      </w:r>
      <w:r>
        <w:rPr>
          <w:rFonts w:hint="eastAsia" w:ascii="仿宋_GB2312" w:eastAsia="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eastAsia="仿宋_GB2312"/>
        </w:rPr>
      </w:pPr>
      <w:r>
        <w:rPr>
          <w:rFonts w:hint="eastAsia" w:ascii="仿宋_GB2312" w:eastAsia="仿宋_GB2312"/>
          <w:b/>
        </w:rPr>
        <w:t>3.公务接待费支出</w:t>
      </w:r>
      <w:r>
        <w:rPr>
          <w:rFonts w:hint="eastAsia" w:ascii="仿宋_GB2312" w:eastAsia="仿宋_GB2312"/>
        </w:rPr>
        <w:t>0.41万元，</w:t>
      </w:r>
      <w:r>
        <w:rPr>
          <w:rStyle w:val="15"/>
          <w:rFonts w:hint="eastAsia" w:ascii="仿宋_GB2312" w:eastAsia="仿宋_GB2312"/>
          <w:b w:val="0"/>
          <w:bCs/>
        </w:rPr>
        <w:t>完成预算100%。</w:t>
      </w:r>
      <w:r>
        <w:rPr>
          <w:rFonts w:hint="eastAsia" w:ascii="仿宋_GB2312" w:eastAsia="仿宋_GB2312"/>
        </w:rPr>
        <w:t>公务接待费支出决算比2018年增加0.41万元，2018年无公务接待费用支出。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rPr>
      </w:pPr>
      <w:r>
        <w:rPr>
          <w:rFonts w:hint="eastAsia" w:ascii="仿宋_GB2312" w:eastAsia="仿宋_GB2312"/>
        </w:rPr>
        <w:t>其中：</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eastAsia="仿宋_GB2312"/>
        </w:rPr>
      </w:pPr>
      <w:r>
        <w:rPr>
          <w:rFonts w:hint="eastAsia" w:ascii="仿宋_GB2312" w:eastAsia="仿宋_GB2312"/>
          <w:b/>
        </w:rPr>
        <w:t>国内公务接待支出</w:t>
      </w:r>
      <w:r>
        <w:rPr>
          <w:rFonts w:hint="eastAsia" w:ascii="仿宋_GB2312" w:eastAsia="仿宋_GB2312"/>
        </w:rPr>
        <w:t>0.41万元，主要用于执行公务、开展业务活动开支的、住宿费、用餐费等。国内公务接待4批次，17人次（不包括陪同人员），共计支出0.41万元，具体内容包括：茂县财政局620元、汶川财政局预算股1290元、汶川财政局2230元。</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_GB2312" w:eastAsia="仿宋_GB2312"/>
        </w:rPr>
      </w:pPr>
      <w:r>
        <w:rPr>
          <w:rFonts w:hint="eastAsia" w:ascii="仿宋_GB2312" w:eastAsia="仿宋_GB2312"/>
          <w:b/>
        </w:rPr>
        <w:t>无外事接待支出</w:t>
      </w:r>
      <w:r>
        <w:rPr>
          <w:rFonts w:hint="eastAsia" w:ascii="仿宋_GB2312" w:eastAsia="仿宋_GB2312"/>
        </w:rPr>
        <w:t>。</w:t>
      </w:r>
    </w:p>
    <w:p>
      <w:pPr>
        <w:spacing w:line="560" w:lineRule="exact"/>
        <w:rPr>
          <w:rStyle w:val="26"/>
          <w:rFonts w:ascii="黑体" w:hAnsi="黑体" w:eastAsia="黑体"/>
        </w:rPr>
      </w:pPr>
      <w:bookmarkStart w:id="46" w:name="_Toc15377218"/>
      <w:bookmarkStart w:id="47" w:name="_Toc15396610"/>
      <w:r>
        <w:rPr>
          <w:rFonts w:hint="eastAsia" w:ascii="黑体" w:hAnsi="黑体" w:eastAsia="黑体"/>
        </w:rPr>
        <w:t>八、</w:t>
      </w:r>
      <w:r>
        <w:rPr>
          <w:rStyle w:val="26"/>
          <w:rFonts w:hint="eastAsia" w:ascii="黑体" w:hAnsi="黑体" w:eastAsia="黑体"/>
          <w:b w:val="0"/>
        </w:rPr>
        <w:t>政府性基金预算支出决算情况说明</w:t>
      </w:r>
      <w:bookmarkEnd w:id="46"/>
      <w:bookmarkEnd w:id="47"/>
    </w:p>
    <w:p>
      <w:pPr>
        <w:spacing w:line="560" w:lineRule="exact"/>
        <w:rPr>
          <w:rFonts w:ascii="仿宋_GB2312" w:eastAsia="仿宋_GB2312"/>
        </w:rPr>
      </w:pPr>
      <w:r>
        <w:rPr>
          <w:rFonts w:hint="eastAsia" w:ascii="仿宋_GB2312" w:eastAsia="仿宋_GB2312"/>
        </w:rPr>
        <w:t>2019年政府性基金预算拨款支出0万元。</w:t>
      </w:r>
    </w:p>
    <w:p>
      <w:pPr>
        <w:spacing w:line="560" w:lineRule="exact"/>
        <w:rPr>
          <w:rStyle w:val="26"/>
          <w:rFonts w:ascii="黑体" w:hAnsi="黑体" w:eastAsia="黑体"/>
          <w:b w:val="0"/>
        </w:rPr>
      </w:pPr>
      <w:bookmarkStart w:id="48" w:name="_Toc15377219"/>
      <w:bookmarkStart w:id="49" w:name="_Toc15396611"/>
      <w:r>
        <w:rPr>
          <w:rStyle w:val="26"/>
          <w:rFonts w:hint="eastAsia" w:ascii="黑体" w:hAnsi="黑体" w:eastAsia="黑体"/>
          <w:b w:val="0"/>
        </w:rPr>
        <w:t>九、国有资本经营预算支出决算情况说明</w:t>
      </w:r>
      <w:bookmarkEnd w:id="48"/>
      <w:bookmarkEnd w:id="49"/>
    </w:p>
    <w:p>
      <w:pPr>
        <w:spacing w:line="560" w:lineRule="exact"/>
        <w:rPr>
          <w:rFonts w:ascii="仿宋_GB2312" w:eastAsia="仿宋_GB2312"/>
        </w:rPr>
      </w:pPr>
      <w:r>
        <w:rPr>
          <w:rFonts w:hint="eastAsia" w:ascii="仿宋_GB2312" w:eastAsia="仿宋_GB2312"/>
        </w:rPr>
        <w:t>2019年国有资本经营预算拨款支出0万元。</w:t>
      </w:r>
    </w:p>
    <w:p>
      <w:pPr>
        <w:spacing w:line="560" w:lineRule="exact"/>
        <w:rPr>
          <w:rStyle w:val="26"/>
          <w:rFonts w:ascii="黑体" w:hAnsi="黑体" w:eastAsia="黑体"/>
        </w:rPr>
      </w:pPr>
      <w:bookmarkStart w:id="50" w:name="_Toc15396612"/>
      <w:bookmarkStart w:id="51" w:name="_Toc15377221"/>
      <w:r>
        <w:rPr>
          <w:rFonts w:hint="eastAsia" w:ascii="黑体" w:hAnsi="黑体" w:eastAsia="黑体"/>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560" w:lineRule="exact"/>
        <w:ind w:firstLine="643"/>
        <w:rPr>
          <w:rFonts w:ascii="楷体" w:hAnsi="楷体" w:eastAsia="楷体"/>
          <w:b/>
        </w:rPr>
      </w:pPr>
      <w:bookmarkStart w:id="52" w:name="_Toc15377222"/>
      <w:r>
        <w:rPr>
          <w:rFonts w:hint="eastAsia" w:ascii="楷体" w:hAnsi="楷体" w:eastAsia="楷体"/>
          <w:b/>
        </w:rPr>
        <w:t>（一）机关运行经费支出情况</w:t>
      </w:r>
      <w:bookmarkEnd w:id="52"/>
    </w:p>
    <w:p>
      <w:pPr>
        <w:spacing w:line="560" w:lineRule="exact"/>
        <w:rPr>
          <w:rFonts w:ascii="仿宋_GB2312" w:eastAsia="仿宋_GB2312"/>
        </w:rPr>
      </w:pPr>
      <w:r>
        <w:rPr>
          <w:rFonts w:hint="eastAsia" w:ascii="仿宋_GB2312" w:eastAsia="仿宋_GB2312"/>
        </w:rPr>
        <w:t>2019年，四川省阿坝州财政信息网络管理中心机关运行经费支出0万元，2018年机关运行经费支出0万元，与2018年决算数持平。</w:t>
      </w:r>
    </w:p>
    <w:p>
      <w:pPr>
        <w:spacing w:line="560" w:lineRule="exact"/>
        <w:ind w:firstLine="643"/>
        <w:rPr>
          <w:rFonts w:ascii="楷体" w:hAnsi="楷体" w:eastAsia="楷体"/>
          <w:b/>
        </w:rPr>
      </w:pPr>
      <w:bookmarkStart w:id="53" w:name="_Toc15377223"/>
      <w:r>
        <w:rPr>
          <w:rFonts w:hint="eastAsia" w:ascii="楷体" w:hAnsi="楷体" w:eastAsia="楷体"/>
          <w:b/>
        </w:rPr>
        <w:t>（二）政府采购支出情况</w:t>
      </w:r>
      <w:bookmarkEnd w:id="53"/>
    </w:p>
    <w:p>
      <w:pPr>
        <w:spacing w:line="560" w:lineRule="exact"/>
        <w:rPr>
          <w:rFonts w:ascii="仿宋_GB2312" w:eastAsia="仿宋_GB2312"/>
        </w:rPr>
      </w:pPr>
      <w:r>
        <w:rPr>
          <w:rFonts w:hint="eastAsia" w:ascii="仿宋_GB2312" w:eastAsia="仿宋_GB2312"/>
        </w:rPr>
        <w:t>2019年，四川省阿坝州财政信息网络管理中心无政府采购支出。</w:t>
      </w:r>
    </w:p>
    <w:p>
      <w:pPr>
        <w:keepNext w:val="0"/>
        <w:keepLines w:val="0"/>
        <w:pageBreakBefore w:val="0"/>
        <w:widowControl w:val="0"/>
        <w:kinsoku/>
        <w:wordWrap/>
        <w:overflowPunct/>
        <w:topLinePunct w:val="0"/>
        <w:bidi w:val="0"/>
        <w:snapToGrid/>
        <w:spacing w:line="560" w:lineRule="exact"/>
        <w:ind w:firstLine="643"/>
        <w:textAlignment w:val="auto"/>
        <w:rPr>
          <w:rFonts w:ascii="楷体" w:hAnsi="楷体" w:eastAsia="楷体"/>
          <w:b/>
        </w:rPr>
      </w:pPr>
      <w:bookmarkStart w:id="54" w:name="_Toc15377224"/>
      <w:r>
        <w:rPr>
          <w:rFonts w:hint="eastAsia" w:ascii="楷体" w:hAnsi="楷体" w:eastAsia="楷体"/>
          <w:b/>
        </w:rPr>
        <w:t>（三）国有资产占有使用情况</w:t>
      </w:r>
      <w:bookmarkEnd w:id="54"/>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仿宋_GB2312" w:eastAsia="仿宋_GB2312"/>
        </w:rPr>
      </w:pPr>
      <w:r>
        <w:rPr>
          <w:rFonts w:hint="eastAsia" w:ascii="仿宋_GB2312" w:eastAsia="仿宋_GB2312"/>
        </w:rPr>
        <w:t>截至2019年12月31日，四川省阿坝州财政信息网络管理中心共有车辆0辆。单价50万元以上通用设备0台（套），单价100万元以上专用设备0台（套）。</w:t>
      </w:r>
    </w:p>
    <w:p>
      <w:pPr>
        <w:keepNext w:val="0"/>
        <w:keepLines w:val="0"/>
        <w:pageBreakBefore w:val="0"/>
        <w:widowControl w:val="0"/>
        <w:kinsoku/>
        <w:wordWrap/>
        <w:overflowPunct/>
        <w:topLinePunct w:val="0"/>
        <w:bidi w:val="0"/>
        <w:snapToGrid/>
        <w:spacing w:line="560" w:lineRule="exact"/>
        <w:ind w:firstLine="643"/>
        <w:textAlignment w:val="auto"/>
        <w:rPr>
          <w:rFonts w:ascii="楷体" w:hAnsi="楷体" w:eastAsia="楷体"/>
          <w:b/>
        </w:rPr>
      </w:pPr>
      <w:r>
        <w:rPr>
          <w:rFonts w:hint="eastAsia" w:ascii="楷体" w:hAnsi="楷体" w:eastAsia="楷体"/>
          <w:b/>
        </w:rPr>
        <w:t>（四）预算绩效管理情况。</w:t>
      </w:r>
    </w:p>
    <w:p>
      <w:pPr>
        <w:keepNext w:val="0"/>
        <w:keepLines w:val="0"/>
        <w:pageBreakBefore w:val="0"/>
        <w:widowControl w:val="0"/>
        <w:kinsoku/>
        <w:wordWrap/>
        <w:overflowPunct/>
        <w:topLinePunct w:val="0"/>
        <w:bidi w:val="0"/>
        <w:snapToGrid/>
        <w:spacing w:line="560" w:lineRule="exact"/>
        <w:textAlignment w:val="auto"/>
        <w:rPr>
          <w:rFonts w:ascii="仿宋_GB2312" w:hAnsi="仿宋_GB2312" w:eastAsia="仿宋_GB2312" w:cs="仿宋_GB2312"/>
        </w:rPr>
      </w:pPr>
      <w:bookmarkStart w:id="55" w:name="_Hlk20677039"/>
      <w:r>
        <w:rPr>
          <w:rFonts w:hint="eastAsia" w:ascii="仿宋_GB2312" w:hAnsi="仿宋_GB2312" w:eastAsia="仿宋_GB2312" w:cs="仿宋_GB2312"/>
        </w:rPr>
        <w:t>阿坝州财政信息网络管理中心</w:t>
      </w:r>
      <w:bookmarkEnd w:id="55"/>
      <w:r>
        <w:rPr>
          <w:rFonts w:hint="eastAsia" w:ascii="仿宋_GB2312" w:hAnsi="仿宋_GB2312" w:eastAsia="仿宋_GB2312" w:cs="仿宋_GB2312"/>
        </w:rPr>
        <w:t>在年初预算编制阶段，未编制项目，仅保障基本支出。阿坝州财政局信息网络管理中心按要求对2019年部门整体支出开展绩效自评，从评价情况来看从评价情况来看我中心严格按照预算进行部门整体支出，始终坚持先有预算、后有执行、监督贯穿全程、“用钱必问效、无效必问责”的原则。了解资金使用是否达到了预期目标、资金管理是否规范、资金使用是否有效，检验资金支出率和效果，分析存在问题及原因，及时总结经验，改进管理措施，不断增强和落实绩效管理责任，完善工作机制，有效提高资金管理水平和使用效益。</w:t>
      </w:r>
    </w:p>
    <w:p>
      <w:pPr>
        <w:keepNext w:val="0"/>
        <w:keepLines w:val="0"/>
        <w:pageBreakBefore w:val="0"/>
        <w:widowControl w:val="0"/>
        <w:kinsoku/>
        <w:wordWrap/>
        <w:overflowPunct/>
        <w:topLinePunct w:val="0"/>
        <w:bidi w:val="0"/>
        <w:snapToGrid/>
        <w:spacing w:line="560" w:lineRule="exact"/>
        <w:ind w:firstLineChars="0"/>
        <w:textAlignment w:val="auto"/>
        <w:rPr>
          <w:rFonts w:ascii="仿宋_GB2312" w:hAnsi="仿宋_GB2312" w:eastAsia="仿宋_GB2312" w:cs="仿宋_GB2312"/>
        </w:rPr>
      </w:pPr>
      <w:r>
        <w:rPr>
          <w:rFonts w:hint="eastAsia" w:ascii="仿宋_GB2312" w:hAnsi="楷体_GB2312" w:eastAsia="仿宋_GB2312" w:cs="楷体_GB2312"/>
          <w:b/>
          <w:bCs/>
        </w:rPr>
        <w:t>1.项目绩效目标完成情况。</w:t>
      </w:r>
      <w:r>
        <w:rPr>
          <w:rFonts w:hint="eastAsia" w:ascii="仿宋_GB2312" w:hAnsi="楷体_GB2312" w:eastAsia="仿宋_GB2312" w:cs="楷体_GB2312"/>
          <w:b/>
          <w:bCs/>
        </w:rPr>
        <w:br w:type="textWrapping"/>
      </w:r>
      <w:r>
        <w:rPr>
          <w:rFonts w:hint="eastAsia" w:ascii="仿宋_GB2312" w:eastAsia="仿宋_GB2312"/>
        </w:rPr>
        <w:t xml:space="preserve">    </w:t>
      </w:r>
      <w:r>
        <w:rPr>
          <w:rFonts w:hint="eastAsia" w:ascii="仿宋_GB2312" w:hAnsi="仿宋_GB2312" w:eastAsia="仿宋_GB2312" w:cs="仿宋_GB2312"/>
        </w:rPr>
        <w:t>阿坝州财政局信息网络管理中心在2019年度部门决算中未编制项目预算。</w:t>
      </w:r>
    </w:p>
    <w:p>
      <w:pPr>
        <w:keepNext w:val="0"/>
        <w:keepLines w:val="0"/>
        <w:pageBreakBefore w:val="0"/>
        <w:widowControl w:val="0"/>
        <w:kinsoku/>
        <w:wordWrap/>
        <w:overflowPunct/>
        <w:topLinePunct w:val="0"/>
        <w:bidi w:val="0"/>
        <w:snapToGrid/>
        <w:spacing w:line="560" w:lineRule="exact"/>
        <w:textAlignment w:val="auto"/>
        <w:rPr>
          <w:rFonts w:ascii="仿宋_GB2312" w:hAnsi="仿宋_GB2312" w:eastAsia="仿宋_GB2312" w:cs="仿宋_GB2312"/>
          <w:b/>
          <w:bCs/>
        </w:rPr>
      </w:pPr>
      <w:r>
        <w:rPr>
          <w:rFonts w:hint="eastAsia" w:ascii="仿宋_GB2312" w:eastAsia="仿宋_GB2312"/>
          <w:b/>
          <w:bCs/>
        </w:rPr>
        <w:t>2.部门绩效评价结果。</w:t>
      </w:r>
    </w:p>
    <w:p>
      <w:pPr>
        <w:keepNext w:val="0"/>
        <w:keepLines w:val="0"/>
        <w:pageBreakBefore w:val="0"/>
        <w:widowControl w:val="0"/>
        <w:kinsoku/>
        <w:wordWrap/>
        <w:overflowPunct/>
        <w:topLinePunct w:val="0"/>
        <w:bidi w:val="0"/>
        <w:snapToGrid/>
        <w:spacing w:line="560" w:lineRule="exact"/>
        <w:textAlignment w:val="auto"/>
        <w:rPr>
          <w:rFonts w:ascii="仿宋_GB2312" w:hAnsi="仿宋_GB2312" w:eastAsia="仿宋_GB2312" w:cs="仿宋_GB2312"/>
        </w:rPr>
      </w:pPr>
      <w:r>
        <w:rPr>
          <w:rFonts w:hint="eastAsia" w:ascii="仿宋_GB2312" w:hAnsi="仿宋_GB2312" w:eastAsia="仿宋_GB2312" w:cs="仿宋_GB2312"/>
        </w:rPr>
        <w:t>阿坝州财政信息网络管理中心按要求对2019年部门整体支出绩效评价情况开展自评，《阿坝州财政局信息网络管理中心2019年部门整体支出绩效评价报告》见附件</w:t>
      </w:r>
      <w:r>
        <w:rPr>
          <w:rFonts w:hint="eastAsia" w:ascii="仿宋_GB2312" w:eastAsia="仿宋_GB2312"/>
        </w:rPr>
        <w:t>（附件1）。</w:t>
      </w:r>
    </w:p>
    <w:p>
      <w:pPr>
        <w:spacing w:line="560" w:lineRule="exact"/>
      </w:pPr>
      <w:r>
        <w:br w:type="page"/>
      </w:r>
    </w:p>
    <w:p>
      <w:pPr>
        <w:pStyle w:val="2"/>
        <w:pageBreakBefore w:val="0"/>
        <w:widowControl w:val="0"/>
        <w:kinsoku/>
        <w:wordWrap/>
        <w:overflowPunct/>
        <w:topLinePunct w:val="0"/>
        <w:bidi w:val="0"/>
        <w:snapToGrid/>
        <w:spacing w:line="560" w:lineRule="exact"/>
        <w:ind w:firstLine="2173" w:firstLineChars="494"/>
        <w:textAlignment w:val="auto"/>
        <w:rPr>
          <w:rFonts w:ascii="黑体" w:hAnsi="黑体" w:eastAsia="黑体"/>
          <w:b w:val="0"/>
        </w:rPr>
      </w:pPr>
      <w:bookmarkStart w:id="56" w:name="_Toc15396613"/>
      <w:bookmarkStart w:id="57" w:name="_Toc15377225"/>
      <w:r>
        <w:rPr>
          <w:rFonts w:hint="eastAsia" w:ascii="黑体" w:hAnsi="黑体" w:eastAsia="黑体"/>
          <w:b w:val="0"/>
        </w:rPr>
        <w:t>第三部分 名词解释</w:t>
      </w:r>
      <w:bookmarkEnd w:id="56"/>
      <w:bookmarkEnd w:id="57"/>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ageBreakBefore w:val="0"/>
        <w:widowControl w:val="0"/>
        <w:kinsoku/>
        <w:wordWrap/>
        <w:overflowPunct/>
        <w:topLinePunct w:val="0"/>
        <w:bidi w:val="0"/>
        <w:snapToGrid/>
        <w:spacing w:line="560" w:lineRule="exact"/>
        <w:textAlignment w:val="auto"/>
        <w:rPr>
          <w:rFonts w:ascii="仿宋_GB2312" w:eastAsia="仿宋_GB2312"/>
        </w:rPr>
      </w:pPr>
      <w:r>
        <w:rPr>
          <w:rFonts w:ascii="仿宋_GB2312" w:eastAsia="仿宋_GB2312"/>
        </w:rPr>
        <w:t>9.</w:t>
      </w:r>
      <w:r>
        <w:rPr>
          <w:rFonts w:hint="eastAsia" w:ascii="仿宋_GB2312" w:eastAsia="仿宋_GB2312"/>
        </w:rPr>
        <w:t>一般公共服务（类）财政事务（款）事业运行（项）：指反映事业单位的基本支出，不包括行政单位（包括实行公务员管理的事业单位）后勤服务中心、医务室等附属事业单位。</w:t>
      </w:r>
    </w:p>
    <w:p>
      <w:pPr>
        <w:pageBreakBefore w:val="0"/>
        <w:widowControl w:val="0"/>
        <w:kinsoku/>
        <w:wordWrap/>
        <w:overflowPunct/>
        <w:topLinePunct w:val="0"/>
        <w:bidi w:val="0"/>
        <w:snapToGrid/>
        <w:spacing w:line="560" w:lineRule="exact"/>
        <w:textAlignment w:val="auto"/>
        <w:rPr>
          <w:rFonts w:ascii="仿宋_GB2312" w:eastAsia="仿宋_GB2312"/>
        </w:rPr>
      </w:pPr>
      <w:r>
        <w:rPr>
          <w:rFonts w:ascii="仿宋_GB2312" w:eastAsia="仿宋_GB2312"/>
        </w:rPr>
        <w:t>10</w:t>
      </w:r>
      <w:r>
        <w:rPr>
          <w:rFonts w:ascii="仿宋_GB2312" w:eastAsia="仿宋_GB2312"/>
          <w:b/>
        </w:rPr>
        <w:t>.</w:t>
      </w:r>
      <w:r>
        <w:rPr>
          <w:rFonts w:hint="eastAsia" w:ascii="仿宋_GB2312" w:eastAsia="仿宋_GB2312"/>
          <w:bCs/>
        </w:rPr>
        <w:t xml:space="preserve"> 社会保障和就业（类）社会保障和就业（款）机关事业单位基本养老保险缴费支出（项）</w:t>
      </w:r>
      <w:r>
        <w:rPr>
          <w:rFonts w:hint="eastAsia" w:ascii="仿宋_GB2312" w:eastAsia="仿宋_GB2312"/>
          <w:b/>
        </w:rPr>
        <w:t>：</w:t>
      </w:r>
      <w:r>
        <w:rPr>
          <w:rFonts w:hint="eastAsia" w:ascii="仿宋_GB2312" w:eastAsia="仿宋_GB2312"/>
        </w:rPr>
        <w:t>指机关事业单位实施养老保险制度由单位缴纳的基本养老保险费支出。</w:t>
      </w:r>
    </w:p>
    <w:p>
      <w:pPr>
        <w:pageBreakBefore w:val="0"/>
        <w:widowControl w:val="0"/>
        <w:kinsoku/>
        <w:wordWrap/>
        <w:overflowPunct/>
        <w:topLinePunct w:val="0"/>
        <w:bidi w:val="0"/>
        <w:snapToGrid/>
        <w:spacing w:line="560" w:lineRule="exact"/>
        <w:textAlignment w:val="auto"/>
        <w:rPr>
          <w:rFonts w:ascii="仿宋_GB2312" w:eastAsia="仿宋_GB2312"/>
          <w:b/>
        </w:rPr>
      </w:pPr>
      <w:r>
        <w:rPr>
          <w:rFonts w:ascii="仿宋_GB2312" w:eastAsia="仿宋_GB2312"/>
        </w:rPr>
        <w:t>11</w:t>
      </w:r>
      <w:r>
        <w:rPr>
          <w:rFonts w:ascii="仿宋_GB2312" w:eastAsia="仿宋_GB2312"/>
          <w:b/>
        </w:rPr>
        <w:t>.</w:t>
      </w:r>
      <w:r>
        <w:rPr>
          <w:rFonts w:hint="eastAsia" w:ascii="仿宋_GB2312" w:eastAsia="仿宋_GB2312"/>
          <w:bCs/>
        </w:rPr>
        <w:t xml:space="preserve"> 社会保障和就业（类）社会保障和就业（款）机关事业单位职业年金缴费支出（项）</w:t>
      </w:r>
      <w:r>
        <w:rPr>
          <w:rFonts w:hint="eastAsia" w:ascii="仿宋_GB2312" w:eastAsia="仿宋_GB2312"/>
          <w:b/>
        </w:rPr>
        <w:t>：</w:t>
      </w:r>
      <w:r>
        <w:rPr>
          <w:rFonts w:hint="eastAsia" w:ascii="仿宋_GB2312" w:eastAsia="仿宋_GB2312"/>
        </w:rPr>
        <w:t>指机关事业单位实施养老保险制度由单位实际缴纳的职业年金支出</w:t>
      </w:r>
      <w:r>
        <w:rPr>
          <w:rFonts w:hint="eastAsia" w:ascii="仿宋_GB2312" w:eastAsia="仿宋_GB2312"/>
          <w:b/>
        </w:rPr>
        <w:t>。</w:t>
      </w:r>
    </w:p>
    <w:p>
      <w:pPr>
        <w:pageBreakBefore w:val="0"/>
        <w:widowControl w:val="0"/>
        <w:kinsoku/>
        <w:wordWrap/>
        <w:overflowPunct/>
        <w:topLinePunct w:val="0"/>
        <w:bidi w:val="0"/>
        <w:snapToGrid/>
        <w:spacing w:line="560" w:lineRule="exact"/>
        <w:textAlignment w:val="auto"/>
        <w:rPr>
          <w:rFonts w:ascii="仿宋_GB2312" w:eastAsia="仿宋_GB2312"/>
          <w:bCs/>
        </w:rPr>
      </w:pPr>
      <w:r>
        <w:rPr>
          <w:rFonts w:ascii="仿宋_GB2312" w:eastAsia="仿宋_GB2312"/>
          <w:bCs/>
        </w:rPr>
        <w:t>12.</w:t>
      </w:r>
      <w:r>
        <w:rPr>
          <w:rFonts w:hint="eastAsia" w:ascii="仿宋_GB2312" w:eastAsia="仿宋_GB2312"/>
          <w:bCs/>
        </w:rPr>
        <w:t xml:space="preserve"> 医疗卫生与计划生育（类）行政事业单位（款）事业单位医疗（项）：反映财政部门安排的事业单位基本医疗保险缴费经费，未参加医疗保险的事业单位的公费医疗经费，按国家规定享受离休人员待遇人员的医疗经费。</w:t>
      </w:r>
    </w:p>
    <w:p>
      <w:pPr>
        <w:pageBreakBefore w:val="0"/>
        <w:widowControl w:val="0"/>
        <w:kinsoku/>
        <w:wordWrap/>
        <w:overflowPunct/>
        <w:topLinePunct w:val="0"/>
        <w:bidi w:val="0"/>
        <w:snapToGrid/>
        <w:spacing w:line="560" w:lineRule="exact"/>
        <w:textAlignment w:val="auto"/>
        <w:rPr>
          <w:rFonts w:ascii="仿宋_GB2312" w:eastAsia="仿宋_GB2312"/>
        </w:rPr>
      </w:pPr>
      <w:r>
        <w:rPr>
          <w:rFonts w:ascii="仿宋_GB2312" w:eastAsia="仿宋_GB2312"/>
          <w:bCs/>
        </w:rPr>
        <w:t>13</w:t>
      </w:r>
      <w:r>
        <w:rPr>
          <w:rFonts w:ascii="仿宋_GB2312" w:eastAsia="仿宋_GB2312"/>
          <w:b/>
          <w:bCs/>
        </w:rPr>
        <w:t>.</w:t>
      </w:r>
      <w:r>
        <w:rPr>
          <w:rFonts w:hint="eastAsia" w:ascii="仿宋_GB2312" w:eastAsia="仿宋_GB2312"/>
          <w:bCs/>
        </w:rPr>
        <w:t xml:space="preserve"> 住房保障支出（类）住房改革支出（款）住房公积金（项）</w:t>
      </w:r>
      <w:r>
        <w:rPr>
          <w:rFonts w:hint="eastAsia" w:ascii="仿宋_GB2312" w:eastAsia="仿宋_GB2312"/>
          <w:b/>
          <w:bCs/>
        </w:rPr>
        <w:t>：</w:t>
      </w:r>
      <w:r>
        <w:rPr>
          <w:rFonts w:hint="eastAsia" w:ascii="仿宋_GB2312" w:eastAsia="仿宋_GB2312"/>
          <w:bCs/>
        </w:rPr>
        <w:t>指行政事业单位按人力资源和社会保障部、财政部规定的基本工资和津贴补贴以及规定比例为职工缴纳的住房公积金。</w:t>
      </w:r>
    </w:p>
    <w:p>
      <w:pPr>
        <w:pageBreakBefore w:val="0"/>
        <w:widowControl w:val="0"/>
        <w:kinsoku/>
        <w:wordWrap/>
        <w:overflowPunct/>
        <w:topLinePunct w:val="0"/>
        <w:bidi w:val="0"/>
        <w:snapToGrid/>
        <w:spacing w:line="560" w:lineRule="exact"/>
        <w:textAlignment w:val="auto"/>
        <w:rPr>
          <w:rFonts w:ascii="仿宋_GB2312" w:eastAsia="仿宋_GB2312"/>
        </w:rPr>
      </w:pPr>
      <w:r>
        <w:rPr>
          <w:rFonts w:ascii="仿宋_GB2312" w:eastAsia="仿宋_GB2312"/>
        </w:rPr>
        <w:t>14.</w:t>
      </w:r>
      <w:r>
        <w:rPr>
          <w:rFonts w:hint="eastAsia" w:ascii="仿宋_GB2312" w:eastAsia="仿宋_GB2312"/>
        </w:rPr>
        <w:t>基本支出：指为保障机构正常运转、完成日常工作任务而发生的人员支出和公用支出。</w:t>
      </w:r>
    </w:p>
    <w:p>
      <w:pPr>
        <w:pageBreakBefore w:val="0"/>
        <w:widowControl w:val="0"/>
        <w:kinsoku/>
        <w:wordWrap/>
        <w:overflowPunct/>
        <w:topLinePunct w:val="0"/>
        <w:bidi w:val="0"/>
        <w:snapToGrid/>
        <w:spacing w:line="560" w:lineRule="exact"/>
        <w:textAlignment w:val="auto"/>
        <w:rPr>
          <w:rFonts w:ascii="仿宋_GB2312" w:eastAsia="仿宋_GB2312"/>
        </w:rPr>
      </w:pPr>
      <w:r>
        <w:rPr>
          <w:rFonts w:ascii="仿宋_GB2312" w:eastAsia="仿宋_GB2312"/>
        </w:rPr>
        <w:t>15.</w:t>
      </w:r>
      <w:r>
        <w:rPr>
          <w:rFonts w:hint="eastAsia" w:ascii="仿宋_GB2312" w:eastAsia="仿宋_GB2312"/>
        </w:rPr>
        <w:t>项目支出：指在基本支出之外为完成特定行政任务和事业发展目标所发生的支出。</w:t>
      </w:r>
    </w:p>
    <w:p>
      <w:pPr>
        <w:pageBreakBefore w:val="0"/>
        <w:widowControl w:val="0"/>
        <w:kinsoku/>
        <w:wordWrap/>
        <w:overflowPunct/>
        <w:topLinePunct w:val="0"/>
        <w:bidi w:val="0"/>
        <w:snapToGrid/>
        <w:spacing w:line="560" w:lineRule="exact"/>
        <w:textAlignment w:val="auto"/>
        <w:rPr>
          <w:rFonts w:ascii="仿宋_GB2312" w:eastAsia="仿宋_GB2312"/>
        </w:rPr>
      </w:pPr>
      <w:r>
        <w:rPr>
          <w:rFonts w:ascii="仿宋_GB2312" w:eastAsia="仿宋_GB2312"/>
        </w:rPr>
        <w:t>16.</w:t>
      </w:r>
      <w:r>
        <w:rPr>
          <w:rFonts w:hint="eastAsia" w:ascii="仿宋_GB2312" w:eastAsia="仿宋_GB2312"/>
        </w:rPr>
        <w:t>经营支出：指事业单位在专业业务活动及其辅助活动之外开展非独立核算经营活动发生的支出。</w:t>
      </w:r>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880"/>
        <w:jc w:val="center"/>
        <w:outlineLvl w:val="0"/>
        <w:rPr>
          <w:rFonts w:ascii="黑体" w:hAnsi="黑体" w:eastAsia="黑体"/>
          <w:sz w:val="44"/>
          <w:szCs w:val="44"/>
        </w:rPr>
      </w:pPr>
    </w:p>
    <w:p>
      <w:pPr>
        <w:spacing w:line="560" w:lineRule="exact"/>
        <w:ind w:firstLine="0" w:firstLineChars="0"/>
        <w:jc w:val="center"/>
        <w:rPr>
          <w:rStyle w:val="25"/>
          <w:rFonts w:ascii="黑体" w:hAnsi="黑体" w:eastAsia="黑体"/>
          <w:b w:val="0"/>
        </w:rPr>
      </w:pPr>
      <w:bookmarkStart w:id="58" w:name="_Toc15377226"/>
      <w:r>
        <w:rPr>
          <w:rFonts w:ascii="宋体"/>
          <w:b/>
        </w:rPr>
        <w:br w:type="page"/>
      </w:r>
      <w:bookmarkStart w:id="59" w:name="_Toc15396614"/>
      <w:r>
        <w:rPr>
          <w:rFonts w:hint="eastAsia" w:ascii="黑体" w:hAnsi="黑体" w:eastAsia="黑体"/>
          <w:sz w:val="44"/>
          <w:szCs w:val="44"/>
        </w:rPr>
        <w:t>第</w:t>
      </w:r>
      <w:r>
        <w:rPr>
          <w:rStyle w:val="25"/>
          <w:rFonts w:hint="eastAsia" w:ascii="黑体" w:hAnsi="黑体" w:eastAsia="黑体"/>
          <w:b w:val="0"/>
        </w:rPr>
        <w:t>四部分 附件</w:t>
      </w:r>
      <w:bookmarkEnd w:id="59"/>
    </w:p>
    <w:p>
      <w:pPr>
        <w:spacing w:line="560" w:lineRule="exact"/>
        <w:rPr>
          <w:rFonts w:ascii="方正小标宋简体" w:hAnsi="方正小标宋简体" w:eastAsia="方正小标宋简体" w:cs="方正小标宋简体"/>
        </w:rPr>
      </w:pPr>
      <w:r>
        <w:rPr>
          <w:rFonts w:hint="eastAsia"/>
        </w:rPr>
        <w:t>附件1</w:t>
      </w:r>
    </w:p>
    <w:p>
      <w:pPr>
        <w:spacing w:line="560" w:lineRule="exact"/>
      </w:pPr>
    </w:p>
    <w:p>
      <w:pPr>
        <w:spacing w:line="560" w:lineRule="exact"/>
        <w:ind w:firstLine="880"/>
        <w:jc w:val="center"/>
        <w:outlineLvl w:val="0"/>
        <w:rPr>
          <w:rFonts w:ascii="黑体" w:hAnsi="黑体" w:eastAsia="黑体" w:cs="方正小标宋简体"/>
          <w:sz w:val="44"/>
          <w:szCs w:val="44"/>
        </w:rPr>
      </w:pPr>
      <w:bookmarkStart w:id="60" w:name="_Toc15396616"/>
      <w:r>
        <w:rPr>
          <w:rFonts w:hint="eastAsia" w:ascii="黑体" w:hAnsi="黑体" w:eastAsia="黑体" w:cs="方正小标宋简体"/>
          <w:sz w:val="44"/>
          <w:szCs w:val="44"/>
        </w:rPr>
        <w:t>阿坝州财政信息网络管理中心</w:t>
      </w:r>
    </w:p>
    <w:p>
      <w:pPr>
        <w:spacing w:line="560" w:lineRule="exact"/>
        <w:ind w:firstLine="880"/>
        <w:jc w:val="center"/>
        <w:outlineLvl w:val="0"/>
        <w:rPr>
          <w:rFonts w:ascii="黑体" w:hAnsi="黑体" w:eastAsia="黑体" w:cs="方正小标宋简体"/>
          <w:sz w:val="44"/>
          <w:szCs w:val="44"/>
        </w:rPr>
      </w:pPr>
      <w:r>
        <w:rPr>
          <w:rFonts w:hint="eastAsia" w:ascii="黑体" w:hAnsi="黑体" w:eastAsia="黑体" w:cs="方正小标宋简体"/>
          <w:sz w:val="44"/>
          <w:szCs w:val="44"/>
        </w:rPr>
        <w:t>2019年部门整体支出绩效评价报告</w:t>
      </w:r>
      <w:bookmarkEnd w:id="60"/>
    </w:p>
    <w:p>
      <w:pPr>
        <w:spacing w:line="560" w:lineRule="exact"/>
        <w:ind w:firstLine="720"/>
        <w:jc w:val="center"/>
        <w:outlineLvl w:val="0"/>
        <w:rPr>
          <w:rFonts w:ascii="黑体" w:hAnsi="黑体" w:eastAsia="黑体" w:cs="方正小标宋简体"/>
          <w:sz w:val="36"/>
          <w:szCs w:val="36"/>
        </w:rPr>
      </w:pPr>
    </w:p>
    <w:p>
      <w:pPr>
        <w:spacing w:line="560" w:lineRule="exact"/>
        <w:rPr>
          <w:rFonts w:ascii="黑体" w:hAnsi="黑体" w:eastAsia="黑体"/>
          <w:kern w:val="0"/>
          <w:shd w:val="clear" w:color="auto" w:fill="FFFFFF"/>
          <w:lang w:val="zh-CN"/>
        </w:rPr>
      </w:pPr>
      <w:r>
        <w:rPr>
          <w:rFonts w:hint="eastAsia" w:ascii="黑体" w:hAnsi="黑体" w:eastAsia="黑体"/>
          <w:kern w:val="0"/>
          <w:shd w:val="clear" w:color="auto" w:fill="FFFFFF"/>
        </w:rPr>
        <w:t>一、</w:t>
      </w:r>
      <w:r>
        <w:rPr>
          <w:rFonts w:hint="eastAsia" w:ascii="黑体" w:hAnsi="黑体" w:eastAsia="黑体"/>
          <w:kern w:val="0"/>
          <w:shd w:val="clear" w:color="auto" w:fill="FFFFFF"/>
          <w:lang w:val="zh-CN"/>
        </w:rPr>
        <w:t>部门（单位）概况</w:t>
      </w:r>
    </w:p>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（一）机构组成。</w:t>
      </w:r>
    </w:p>
    <w:p>
      <w:pPr>
        <w:spacing w:line="560" w:lineRule="exact"/>
        <w:rPr>
          <w:rFonts w:ascii="仿宋_GB2312" w:eastAsia="仿宋_GB2312"/>
        </w:rPr>
      </w:pPr>
      <w:r>
        <w:rPr>
          <w:rFonts w:hint="eastAsia" w:ascii="仿宋_GB2312" w:eastAsia="仿宋_GB2312"/>
        </w:rPr>
        <w:t>阿坝州财政信息网络管理中心直属事业单位5个，分别为阿坝州财政信息网络管理中心、阿坝州财政投资评审中心、阿坝州财政离退休干部管理办公室、阿坝州财政后勤服务中心、阿坝州财政预算编审中心，独立编制机构数1个，独立核算机构数1个。</w:t>
      </w:r>
    </w:p>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（二）机构职能。</w:t>
      </w:r>
    </w:p>
    <w:p>
      <w:pPr>
        <w:spacing w:line="560" w:lineRule="exact"/>
        <w:rPr>
          <w:rFonts w:ascii="仿宋_GB2312" w:eastAsia="仿宋_GB2312" w:cs="仿宋_GB2312"/>
        </w:rPr>
      </w:pPr>
      <w:r>
        <w:rPr>
          <w:rFonts w:hint="eastAsia" w:ascii="仿宋_GB2312" w:eastAsia="仿宋_GB2312" w:cs="仿宋_GB2312"/>
        </w:rPr>
        <w:t>贯彻执行举办单位及上级主管部门相关制度，完成财政信息化规划、建设和维护等工作。负责本级财政信息化规划、建设和维护等工作，指导县财政信息化工作。</w:t>
      </w:r>
    </w:p>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（三）人员概况。</w:t>
      </w:r>
    </w:p>
    <w:p>
      <w:pPr>
        <w:spacing w:line="560" w:lineRule="exact"/>
        <w:rPr>
          <w:rFonts w:ascii="仿宋_GB2312" w:eastAsia="仿宋_GB2312" w:cs="仿宋_GB2312"/>
          <w:color w:val="FF0000"/>
        </w:rPr>
      </w:pPr>
      <w:r>
        <w:rPr>
          <w:rFonts w:hint="eastAsia" w:ascii="仿宋_GB2312" w:eastAsia="仿宋_GB2312" w:cs="仿宋_GB2312"/>
        </w:rPr>
        <w:t>我中心现有人员编制57名。截止2018年12月31日我为实有在职人员为28名、退休干部9名。</w:t>
      </w:r>
    </w:p>
    <w:p>
      <w:pPr>
        <w:spacing w:line="560" w:lineRule="exact"/>
        <w:rPr>
          <w:rFonts w:ascii="黑体" w:hAnsi="黑体" w:eastAsia="黑体"/>
          <w:kern w:val="0"/>
          <w:shd w:val="clear" w:color="auto" w:fill="FFFFFF"/>
        </w:rPr>
      </w:pPr>
      <w:r>
        <w:rPr>
          <w:rFonts w:hint="eastAsia" w:ascii="黑体" w:hAnsi="黑体" w:eastAsia="黑体"/>
          <w:kern w:val="0"/>
          <w:shd w:val="clear" w:color="auto" w:fill="FFFFFF"/>
        </w:rPr>
        <w:t>二、部门财政资金收支情况</w:t>
      </w:r>
    </w:p>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（一）部门财政资金收入情况。</w:t>
      </w:r>
    </w:p>
    <w:p>
      <w:pPr>
        <w:spacing w:line="560" w:lineRule="exact"/>
        <w:rPr>
          <w:rFonts w:ascii="仿宋_GB2312" w:eastAsia="仿宋_GB2312" w:cs="仿宋_GB2312"/>
        </w:rPr>
      </w:pPr>
      <w:r>
        <w:rPr>
          <w:rFonts w:hint="eastAsia" w:ascii="仿宋_GB2312" w:eastAsia="仿宋_GB2312" w:cs="仿宋_GB2312"/>
        </w:rPr>
        <w:t>2019年当年我中心预算收入348.98万元，均为财政拨款收入。</w:t>
      </w:r>
    </w:p>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（二）部门财政资金支出情况。</w:t>
      </w:r>
    </w:p>
    <w:p>
      <w:pPr>
        <w:spacing w:line="560" w:lineRule="exact"/>
        <w:rPr>
          <w:rFonts w:ascii="仿宋_GB2312" w:eastAsia="仿宋_GB2312"/>
        </w:rPr>
      </w:pPr>
      <w:r>
        <w:rPr>
          <w:rFonts w:hint="eastAsia" w:ascii="仿宋_GB2312" w:eastAsia="仿宋_GB2312"/>
        </w:rPr>
        <w:t>2019年</w:t>
      </w:r>
      <w:r>
        <w:rPr>
          <w:rFonts w:hint="eastAsia" w:ascii="仿宋_GB2312" w:eastAsia="仿宋_GB2312" w:cs="仿宋_GB2312"/>
        </w:rPr>
        <w:t>我中心决算支出</w:t>
      </w:r>
      <w:r>
        <w:rPr>
          <w:rFonts w:hint="eastAsia" w:ascii="仿宋_GB2312" w:eastAsia="仿宋_GB2312"/>
        </w:rPr>
        <w:t>支出467.26万元，主要用于以下方面:</w:t>
      </w:r>
      <w:r>
        <w:rPr>
          <w:rFonts w:hint="eastAsia" w:ascii="仿宋_GB2312" w:eastAsia="仿宋_GB2312"/>
          <w:b/>
        </w:rPr>
        <w:t>一般公共服务（类）支出</w:t>
      </w:r>
      <w:r>
        <w:rPr>
          <w:rFonts w:hint="eastAsia" w:ascii="仿宋_GB2312" w:eastAsia="仿宋_GB2312"/>
        </w:rPr>
        <w:t>395.97万元，占84.74%；</w:t>
      </w:r>
      <w:r>
        <w:rPr>
          <w:rFonts w:hint="eastAsia" w:ascii="仿宋_GB2312" w:eastAsia="仿宋_GB2312"/>
          <w:b/>
        </w:rPr>
        <w:t>社会保障和就业（类）</w:t>
      </w:r>
      <w:r>
        <w:rPr>
          <w:rFonts w:hint="eastAsia" w:ascii="仿宋_GB2312" w:eastAsia="仿宋_GB2312"/>
        </w:rPr>
        <w:t>支出2.21万元，占0.47%；</w:t>
      </w:r>
      <w:r>
        <w:rPr>
          <w:rFonts w:hint="eastAsia" w:ascii="仿宋_GB2312" w:eastAsia="仿宋_GB2312"/>
          <w:b/>
        </w:rPr>
        <w:t>卫生健康支出（类）</w:t>
      </w:r>
      <w:r>
        <w:rPr>
          <w:rFonts w:hint="eastAsia" w:ascii="仿宋_GB2312" w:eastAsia="仿宋_GB2312"/>
        </w:rPr>
        <w:t>24.51万元，占5.25%；</w:t>
      </w:r>
      <w:r>
        <w:rPr>
          <w:rFonts w:hint="eastAsia" w:ascii="仿宋_GB2312" w:eastAsia="仿宋_GB2312"/>
          <w:b/>
        </w:rPr>
        <w:t>住房保障支出（类）</w:t>
      </w:r>
      <w:r>
        <w:rPr>
          <w:rFonts w:hint="eastAsia" w:ascii="仿宋_GB2312" w:eastAsia="仿宋_GB2312"/>
        </w:rPr>
        <w:t>44.57万元，占9.54%。</w:t>
      </w:r>
    </w:p>
    <w:p>
      <w:pPr>
        <w:spacing w:line="560" w:lineRule="exact"/>
        <w:rPr>
          <w:rFonts w:ascii="黑体" w:hAnsi="黑体" w:eastAsia="黑体"/>
          <w:kern w:val="0"/>
          <w:shd w:val="clear" w:color="auto" w:fill="FFFFFF"/>
        </w:rPr>
      </w:pPr>
      <w:r>
        <w:rPr>
          <w:rFonts w:hint="eastAsia" w:ascii="黑体" w:hAnsi="黑体" w:eastAsia="黑体"/>
          <w:kern w:val="0"/>
          <w:shd w:val="clear" w:color="auto" w:fill="FFFFFF"/>
        </w:rPr>
        <w:t>三、部门整体预算绩效管理情况</w:t>
      </w:r>
    </w:p>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（一）部门预算管理。</w:t>
      </w:r>
    </w:p>
    <w:p>
      <w:pPr>
        <w:spacing w:line="560" w:lineRule="exact"/>
        <w:rPr>
          <w:rFonts w:hint="eastAsia" w:ascii="仿宋_GB2312" w:eastAsia="仿宋_GB2312"/>
        </w:rPr>
      </w:pPr>
      <w:r>
        <w:rPr>
          <w:rFonts w:hint="eastAsia" w:ascii="仿宋_GB2312" w:eastAsia="仿宋_GB2312"/>
        </w:rPr>
        <w:t>2019年，我中心按照“扩面增量、整体推进，深化完善，构建体系”的总体目标，严格按照《预算法》、《阿坝州州级预算绩效目标管理办法》、《预算编制通知》等文件要求，完整编制部门整体绩效目标，合理量化项目绩效目标，按时完成基础库、项目库报送工作，2019年人大预工委对预算草案审查无修改问题。</w:t>
      </w:r>
      <w:bookmarkStart w:id="61" w:name="_Hlk20657734"/>
    </w:p>
    <w:bookmarkEnd w:id="61"/>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（二）结果应用情况。</w:t>
      </w:r>
    </w:p>
    <w:p>
      <w:pPr>
        <w:spacing w:line="560" w:lineRule="exact"/>
        <w:rPr>
          <w:rFonts w:hint="eastAsia" w:ascii="仿宋_GB2312" w:eastAsia="仿宋_GB2312"/>
        </w:rPr>
      </w:pPr>
      <w:r>
        <w:rPr>
          <w:rFonts w:hint="eastAsia" w:ascii="仿宋_GB2312" w:eastAsia="仿宋_GB2312"/>
        </w:rPr>
        <w:t>通过对预算编制、预算执行、综合管理、整体效益等方面进行全面分析评价，2019年部门整体支出绩效自评得分为90分。将针对评价总结的问题进行整改。</w:t>
      </w:r>
    </w:p>
    <w:p>
      <w:pPr>
        <w:spacing w:line="560" w:lineRule="exact"/>
        <w:rPr>
          <w:rFonts w:ascii="黑体" w:hAnsi="黑体" w:eastAsia="黑体"/>
          <w:kern w:val="0"/>
          <w:shd w:val="clear" w:color="auto" w:fill="FFFFFF"/>
        </w:rPr>
      </w:pPr>
      <w:r>
        <w:rPr>
          <w:rFonts w:hint="eastAsia" w:ascii="黑体" w:hAnsi="黑体" w:eastAsia="黑体"/>
          <w:kern w:val="0"/>
          <w:shd w:val="clear" w:color="auto" w:fill="FFFFFF"/>
        </w:rPr>
        <w:t>四、评价结论及建议</w:t>
      </w:r>
    </w:p>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（一）评价结论。</w:t>
      </w:r>
    </w:p>
    <w:p>
      <w:pPr>
        <w:spacing w:line="560" w:lineRule="exact"/>
        <w:rPr>
          <w:rFonts w:hint="eastAsia" w:ascii="仿宋_GB2312" w:eastAsia="仿宋_GB2312"/>
        </w:rPr>
      </w:pPr>
      <w:r>
        <w:rPr>
          <w:rFonts w:hint="eastAsia" w:ascii="仿宋_GB2312" w:eastAsia="仿宋_GB2312"/>
        </w:rPr>
        <w:t>通过自评，我中心完成基本支出预算，保障了机关日常正常运转，认真履行好部门职能职责，圆满完成了州委、州政府下达的各项业务目标任务。</w:t>
      </w:r>
    </w:p>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（二）存在问题。</w:t>
      </w:r>
    </w:p>
    <w:p>
      <w:pPr>
        <w:spacing w:line="560" w:lineRule="exact"/>
        <w:rPr>
          <w:rFonts w:hint="eastAsia" w:ascii="仿宋_GB2312" w:eastAsia="仿宋_GB2312"/>
        </w:rPr>
      </w:pPr>
      <w:r>
        <w:rPr>
          <w:rFonts w:hint="eastAsia" w:ascii="仿宋_GB2312" w:eastAsia="仿宋_GB2312"/>
        </w:rPr>
        <w:t>预算编制质量较好但编制准确性有待提高。</w:t>
      </w:r>
    </w:p>
    <w:p>
      <w:pPr>
        <w:spacing w:line="560" w:lineRule="exact"/>
        <w:ind w:firstLine="643"/>
        <w:rPr>
          <w:rFonts w:ascii="楷体" w:hAnsi="楷体" w:eastAsia="楷体"/>
          <w:b/>
          <w:kern w:val="0"/>
          <w:shd w:val="clear" w:color="auto" w:fill="FFFFFF"/>
          <w:lang w:val="zh-CN"/>
        </w:rPr>
      </w:pPr>
      <w:r>
        <w:rPr>
          <w:rFonts w:hint="eastAsia" w:ascii="楷体" w:hAnsi="楷体" w:eastAsia="楷体"/>
          <w:b/>
          <w:kern w:val="0"/>
          <w:shd w:val="clear" w:color="auto" w:fill="FFFFFF"/>
          <w:lang w:val="zh-CN"/>
        </w:rPr>
        <w:t>（三）改进建议。</w:t>
      </w:r>
    </w:p>
    <w:p>
      <w:pPr>
        <w:spacing w:line="560" w:lineRule="exact"/>
        <w:rPr>
          <w:rFonts w:hint="eastAsia" w:ascii="仿宋_GB2312" w:eastAsia="仿宋_GB2312"/>
        </w:rPr>
      </w:pPr>
      <w:r>
        <w:rPr>
          <w:rFonts w:hint="eastAsia" w:ascii="仿宋_GB2312" w:eastAsia="仿宋_GB2312"/>
        </w:rPr>
        <w:t xml:space="preserve">一是强化绩效理念，深入推进评价工作。进一步强化我局绩效管理理念，将“要我评价”的被动认识转化为“我要评价”的主动实践，把财政绩效评价作为转变政府职能、深化财政改革、促进科学理财的重要工作来抓，健全完善制度办法，切实加强组织领导，深入推进评价工作，提升整体绩效管理水平。 </w:t>
      </w:r>
    </w:p>
    <w:p>
      <w:pPr>
        <w:spacing w:line="560" w:lineRule="exact"/>
        <w:rPr>
          <w:rFonts w:hint="eastAsia" w:ascii="仿宋_GB2312" w:eastAsia="仿宋_GB2312"/>
        </w:rPr>
      </w:pPr>
      <w:r>
        <w:rPr>
          <w:rFonts w:hint="eastAsia" w:ascii="仿宋_GB2312" w:eastAsia="仿宋_GB2312"/>
        </w:rPr>
        <w:t>二是强化事前准备，提升评价质量。在推进自身评价工</w:t>
      </w:r>
    </w:p>
    <w:p>
      <w:pPr>
        <w:spacing w:line="560" w:lineRule="exact"/>
        <w:rPr>
          <w:rFonts w:hint="eastAsia" w:ascii="仿宋_GB2312" w:eastAsia="仿宋_GB2312"/>
        </w:rPr>
      </w:pPr>
      <w:r>
        <w:rPr>
          <w:rFonts w:hint="eastAsia" w:ascii="仿宋_GB2312" w:eastAsia="仿宋_GB2312"/>
        </w:rPr>
        <w:t xml:space="preserve">作开展时，结合评价工作实际，完善评价特性指标，规范评价标准，立足管理需求，预设评价重点，确保绩效评价结果公正、客观、精准，做到评价结果客观公正、实事求是，真实反映绩效，如实反映问题，切实提高评价质量。 </w:t>
      </w:r>
    </w:p>
    <w:p>
      <w:pPr>
        <w:spacing w:line="560" w:lineRule="exact"/>
        <w:rPr>
          <w:rFonts w:hint="eastAsia" w:ascii="仿宋_GB2312" w:eastAsia="仿宋_GB2312"/>
        </w:rPr>
      </w:pPr>
      <w:r>
        <w:rPr>
          <w:rFonts w:hint="eastAsia" w:ascii="仿宋_GB2312" w:eastAsia="仿宋_GB2312"/>
        </w:rPr>
        <w:t>三是强化整改落实，构建长效机制。我中心已对评价发现的问题逐一整改，全面核查，举一反三，确保整改到位。对评价发现的问题，深入分析原因，采取措施尽快整改，主要领导亲自抓，组织专门力量，专人专项落实，立即整改，不得遗漏。</w:t>
      </w:r>
    </w:p>
    <w:p>
      <w:pPr>
        <w:spacing w:line="560" w:lineRule="exact"/>
        <w:rPr>
          <w:rFonts w:hint="eastAsia" w:ascii="仿宋_GB2312" w:eastAsia="仿宋_GB2312"/>
        </w:rPr>
      </w:pPr>
      <w:r>
        <w:rPr>
          <w:rFonts w:hint="eastAsia" w:ascii="仿宋_GB2312" w:eastAsia="仿宋_GB2312"/>
        </w:rPr>
        <w:t>四是强化结果应用，巩固评价成效。在进一步严格问题</w:t>
      </w:r>
    </w:p>
    <w:p>
      <w:pPr>
        <w:spacing w:line="560" w:lineRule="exact"/>
        <w:rPr>
          <w:rFonts w:hint="eastAsia" w:ascii="仿宋_GB2312" w:eastAsia="仿宋_GB2312"/>
        </w:rPr>
      </w:pPr>
      <w:r>
        <w:rPr>
          <w:rFonts w:hint="eastAsia" w:ascii="仿宋_GB2312" w:eastAsia="仿宋_GB2312"/>
        </w:rPr>
        <w:t>整改落实的基础上，试点评价结果公开。一是按照“谁评价、谁公开”的原则，由主管部门将部门自评报告向社会公开，接受公众监督。</w:t>
      </w:r>
    </w:p>
    <w:p>
      <w:pPr>
        <w:spacing w:line="560" w:lineRule="exact"/>
        <w:rPr>
          <w:rFonts w:hint="eastAsia" w:ascii="仿宋_GB2312" w:eastAsia="仿宋_GB2312"/>
        </w:rPr>
      </w:pPr>
    </w:p>
    <w:p>
      <w:pPr>
        <w:spacing w:line="560" w:lineRule="exact"/>
        <w:ind w:firstLine="2640" w:firstLineChars="600"/>
        <w:rPr>
          <w:rStyle w:val="25"/>
          <w:rFonts w:ascii="黑体" w:hAnsi="黑体" w:eastAsia="黑体"/>
          <w:b w:val="0"/>
        </w:rPr>
      </w:pPr>
      <w:bookmarkStart w:id="62" w:name="_Toc15396618"/>
      <w:r>
        <w:rPr>
          <w:rFonts w:hint="eastAsia" w:ascii="黑体" w:hAnsi="黑体" w:eastAsia="黑体"/>
          <w:sz w:val="44"/>
          <w:szCs w:val="44"/>
        </w:rPr>
        <w:t>第</w:t>
      </w:r>
      <w:r>
        <w:rPr>
          <w:rStyle w:val="25"/>
          <w:rFonts w:hint="eastAsia" w:ascii="黑体" w:hAnsi="黑体" w:eastAsia="黑体"/>
          <w:b w:val="0"/>
        </w:rPr>
        <w:t>五部分 附表</w:t>
      </w:r>
      <w:bookmarkEnd w:id="58"/>
      <w:bookmarkEnd w:id="62"/>
    </w:p>
    <w:p>
      <w:pPr>
        <w:pStyle w:val="3"/>
        <w:spacing w:line="560" w:lineRule="exact"/>
        <w:ind w:firstLine="636" w:firstLineChars="199"/>
        <w:rPr>
          <w:rFonts w:ascii="黑体" w:hAnsi="黑体" w:eastAsia="黑体"/>
        </w:rPr>
      </w:pPr>
      <w:bookmarkStart w:id="63" w:name="_Toc15396619"/>
      <w:r>
        <w:rPr>
          <w:rFonts w:hint="eastAsia" w:ascii="黑体" w:hAnsi="黑体" w:eastAsia="黑体"/>
          <w:b w:val="0"/>
        </w:rPr>
        <w:t>一、收</w:t>
      </w:r>
      <w:r>
        <w:rPr>
          <w:rStyle w:val="26"/>
          <w:rFonts w:hint="eastAsia" w:ascii="黑体" w:hAnsi="黑体" w:eastAsia="黑体"/>
          <w:b w:val="0"/>
          <w:bCs w:val="0"/>
        </w:rPr>
        <w:t>入支出决算总表</w:t>
      </w:r>
      <w:bookmarkEnd w:id="63"/>
    </w:p>
    <w:p>
      <w:pPr>
        <w:pStyle w:val="3"/>
        <w:spacing w:line="560" w:lineRule="exact"/>
        <w:rPr>
          <w:rFonts w:ascii="黑体" w:hAnsi="黑体" w:eastAsia="黑体"/>
        </w:rPr>
      </w:pPr>
      <w:bookmarkStart w:id="64" w:name="_Toc15396620"/>
      <w:r>
        <w:rPr>
          <w:rFonts w:hint="eastAsia" w:ascii="黑体" w:hAnsi="黑体" w:eastAsia="黑体"/>
          <w:b w:val="0"/>
        </w:rPr>
        <w:t>二、收</w:t>
      </w:r>
      <w:r>
        <w:rPr>
          <w:rStyle w:val="26"/>
          <w:rFonts w:hint="eastAsia" w:ascii="黑体" w:hAnsi="黑体" w:eastAsia="黑体"/>
          <w:b w:val="0"/>
          <w:bCs w:val="0"/>
        </w:rPr>
        <w:t>入决算表</w:t>
      </w:r>
      <w:bookmarkEnd w:id="64"/>
    </w:p>
    <w:p>
      <w:pPr>
        <w:pStyle w:val="3"/>
        <w:spacing w:line="560" w:lineRule="exact"/>
        <w:rPr>
          <w:rFonts w:ascii="黑体" w:hAnsi="黑体" w:eastAsia="黑体"/>
        </w:rPr>
      </w:pPr>
      <w:bookmarkStart w:id="65" w:name="_Toc15396621"/>
      <w:r>
        <w:rPr>
          <w:rStyle w:val="26"/>
          <w:rFonts w:hint="eastAsia" w:ascii="黑体" w:hAnsi="黑体" w:eastAsia="黑体"/>
          <w:b w:val="0"/>
          <w:bCs w:val="0"/>
        </w:rPr>
        <w:t>三</w:t>
      </w:r>
      <w:r>
        <w:rPr>
          <w:rStyle w:val="26"/>
          <w:rFonts w:hint="eastAsia" w:ascii="黑体" w:hAnsi="黑体" w:eastAsia="黑体"/>
          <w:b/>
          <w:bCs w:val="0"/>
        </w:rPr>
        <w:t>、</w:t>
      </w:r>
      <w:r>
        <w:rPr>
          <w:rFonts w:hint="eastAsia" w:ascii="黑体" w:hAnsi="黑体" w:eastAsia="黑体"/>
          <w:b w:val="0"/>
        </w:rPr>
        <w:t>支</w:t>
      </w:r>
      <w:r>
        <w:rPr>
          <w:rStyle w:val="26"/>
          <w:rFonts w:hint="eastAsia" w:ascii="黑体" w:hAnsi="黑体" w:eastAsia="黑体"/>
          <w:b w:val="0"/>
          <w:bCs w:val="0"/>
        </w:rPr>
        <w:t>出决算表</w:t>
      </w:r>
      <w:bookmarkEnd w:id="65"/>
    </w:p>
    <w:p>
      <w:pPr>
        <w:pStyle w:val="3"/>
        <w:spacing w:line="560" w:lineRule="exact"/>
        <w:rPr>
          <w:rFonts w:ascii="黑体" w:hAnsi="黑体" w:eastAsia="黑体"/>
        </w:rPr>
      </w:pPr>
      <w:bookmarkStart w:id="66" w:name="_Toc15396622"/>
      <w:r>
        <w:rPr>
          <w:rStyle w:val="26"/>
          <w:rFonts w:hint="eastAsia" w:ascii="黑体" w:hAnsi="黑体" w:eastAsia="黑体"/>
          <w:b w:val="0"/>
          <w:bCs w:val="0"/>
        </w:rPr>
        <w:t>四</w:t>
      </w:r>
      <w:r>
        <w:rPr>
          <w:rStyle w:val="26"/>
          <w:rFonts w:hint="eastAsia" w:ascii="黑体" w:hAnsi="黑体" w:eastAsia="黑体"/>
          <w:b/>
          <w:bCs w:val="0"/>
        </w:rPr>
        <w:t>、</w:t>
      </w:r>
      <w:r>
        <w:rPr>
          <w:rFonts w:hint="eastAsia" w:ascii="黑体" w:hAnsi="黑体" w:eastAsia="黑体"/>
          <w:b w:val="0"/>
        </w:rPr>
        <w:t>财</w:t>
      </w:r>
      <w:r>
        <w:rPr>
          <w:rStyle w:val="26"/>
          <w:rFonts w:hint="eastAsia" w:ascii="黑体" w:hAnsi="黑体" w:eastAsia="黑体"/>
          <w:b w:val="0"/>
          <w:bCs w:val="0"/>
        </w:rPr>
        <w:t>政拨款收入支出决算总表</w:t>
      </w:r>
      <w:bookmarkEnd w:id="66"/>
    </w:p>
    <w:p>
      <w:pPr>
        <w:pStyle w:val="3"/>
        <w:spacing w:line="560" w:lineRule="exact"/>
        <w:rPr>
          <w:rStyle w:val="26"/>
          <w:rFonts w:ascii="黑体" w:hAnsi="黑体" w:eastAsia="黑体"/>
          <w:b w:val="0"/>
          <w:bCs w:val="0"/>
        </w:rPr>
      </w:pPr>
      <w:bookmarkStart w:id="67" w:name="_Toc15396623"/>
      <w:r>
        <w:rPr>
          <w:rStyle w:val="26"/>
          <w:rFonts w:hint="eastAsia" w:ascii="黑体" w:hAnsi="黑体" w:eastAsia="黑体"/>
          <w:b w:val="0"/>
          <w:bCs w:val="0"/>
        </w:rPr>
        <w:t>五、</w:t>
      </w:r>
      <w:r>
        <w:rPr>
          <w:rFonts w:hint="eastAsia" w:ascii="黑体" w:hAnsi="黑体" w:eastAsia="黑体"/>
          <w:b w:val="0"/>
        </w:rPr>
        <w:t>财</w:t>
      </w:r>
      <w:r>
        <w:rPr>
          <w:rStyle w:val="26"/>
          <w:rFonts w:hint="eastAsia" w:ascii="黑体" w:hAnsi="黑体" w:eastAsia="黑体"/>
          <w:b w:val="0"/>
          <w:bCs w:val="0"/>
        </w:rPr>
        <w:t>政拨款支出决算明细表</w:t>
      </w:r>
      <w:bookmarkEnd w:id="67"/>
      <w:bookmarkStart w:id="68" w:name="_Toc15396624"/>
    </w:p>
    <w:p>
      <w:pPr>
        <w:pStyle w:val="3"/>
        <w:spacing w:line="560" w:lineRule="exact"/>
        <w:rPr>
          <w:rFonts w:ascii="黑体" w:hAnsi="黑体" w:eastAsia="黑体"/>
        </w:rPr>
      </w:pPr>
      <w:r>
        <w:rPr>
          <w:rStyle w:val="26"/>
          <w:rFonts w:hint="eastAsia" w:ascii="黑体" w:hAnsi="黑体" w:eastAsia="黑体"/>
          <w:b w:val="0"/>
          <w:bCs w:val="0"/>
        </w:rPr>
        <w:t>六、</w:t>
      </w:r>
      <w:r>
        <w:rPr>
          <w:rFonts w:hint="eastAsia" w:ascii="黑体" w:hAnsi="黑体" w:eastAsia="黑体"/>
        </w:rPr>
        <w:t>一</w:t>
      </w:r>
      <w:r>
        <w:rPr>
          <w:rStyle w:val="26"/>
          <w:rFonts w:hint="eastAsia" w:ascii="黑体" w:hAnsi="黑体" w:eastAsia="黑体"/>
          <w:b w:val="0"/>
          <w:bCs w:val="0"/>
        </w:rPr>
        <w:t>般公共预算财政拨款支出决算表</w:t>
      </w:r>
      <w:bookmarkEnd w:id="68"/>
    </w:p>
    <w:p>
      <w:pPr>
        <w:pStyle w:val="3"/>
        <w:spacing w:line="560" w:lineRule="exact"/>
        <w:rPr>
          <w:rFonts w:ascii="黑体" w:hAnsi="黑体" w:eastAsia="黑体"/>
        </w:rPr>
      </w:pPr>
      <w:bookmarkStart w:id="69" w:name="_Toc15396625"/>
      <w:r>
        <w:rPr>
          <w:rStyle w:val="26"/>
          <w:rFonts w:hint="eastAsia" w:ascii="黑体" w:hAnsi="黑体" w:eastAsia="黑体"/>
          <w:b w:val="0"/>
          <w:bCs w:val="0"/>
        </w:rPr>
        <w:t>七、</w:t>
      </w:r>
      <w:r>
        <w:rPr>
          <w:rFonts w:hint="eastAsia" w:ascii="黑体" w:hAnsi="黑体" w:eastAsia="黑体"/>
        </w:rPr>
        <w:t>一</w:t>
      </w:r>
      <w:r>
        <w:rPr>
          <w:rStyle w:val="26"/>
          <w:rFonts w:hint="eastAsia" w:ascii="黑体" w:hAnsi="黑体" w:eastAsia="黑体"/>
          <w:b w:val="0"/>
          <w:bCs w:val="0"/>
        </w:rPr>
        <w:t>般公共预算财政拨款支出决算明细表</w:t>
      </w:r>
      <w:bookmarkEnd w:id="69"/>
    </w:p>
    <w:p>
      <w:pPr>
        <w:pStyle w:val="3"/>
        <w:spacing w:line="560" w:lineRule="exact"/>
        <w:rPr>
          <w:rFonts w:ascii="黑体" w:hAnsi="黑体" w:eastAsia="黑体"/>
        </w:rPr>
      </w:pPr>
      <w:bookmarkStart w:id="70" w:name="_Toc15396626"/>
      <w:r>
        <w:rPr>
          <w:rStyle w:val="26"/>
          <w:rFonts w:hint="eastAsia" w:ascii="黑体" w:hAnsi="黑体" w:eastAsia="黑体"/>
          <w:b w:val="0"/>
          <w:bCs w:val="0"/>
        </w:rPr>
        <w:t>八、</w:t>
      </w:r>
      <w:r>
        <w:rPr>
          <w:rFonts w:hint="eastAsia" w:ascii="黑体" w:hAnsi="黑体" w:eastAsia="黑体"/>
        </w:rPr>
        <w:t>一</w:t>
      </w:r>
      <w:r>
        <w:rPr>
          <w:rStyle w:val="26"/>
          <w:rFonts w:hint="eastAsia" w:ascii="黑体" w:hAnsi="黑体" w:eastAsia="黑体"/>
          <w:b w:val="0"/>
          <w:bCs w:val="0"/>
        </w:rPr>
        <w:t>般公共预算财政拨款基本支出决算表</w:t>
      </w:r>
      <w:bookmarkEnd w:id="70"/>
    </w:p>
    <w:p>
      <w:pPr>
        <w:pStyle w:val="3"/>
        <w:spacing w:line="560" w:lineRule="exact"/>
        <w:rPr>
          <w:rFonts w:ascii="黑体" w:hAnsi="黑体" w:eastAsia="黑体"/>
        </w:rPr>
      </w:pPr>
      <w:bookmarkStart w:id="71" w:name="_Toc15396627"/>
      <w:r>
        <w:rPr>
          <w:rStyle w:val="26"/>
          <w:rFonts w:hint="eastAsia" w:ascii="黑体" w:hAnsi="黑体" w:eastAsia="黑体"/>
          <w:b w:val="0"/>
          <w:bCs w:val="0"/>
        </w:rPr>
        <w:t>九、</w:t>
      </w:r>
      <w:r>
        <w:rPr>
          <w:rFonts w:hint="eastAsia" w:ascii="黑体" w:hAnsi="黑体" w:eastAsia="黑体"/>
        </w:rPr>
        <w:t>一</w:t>
      </w:r>
      <w:r>
        <w:rPr>
          <w:rStyle w:val="26"/>
          <w:rFonts w:hint="eastAsia" w:ascii="黑体" w:hAnsi="黑体" w:eastAsia="黑体"/>
          <w:b w:val="0"/>
          <w:bCs w:val="0"/>
        </w:rPr>
        <w:t>般公共预算财政拨款项目支出决算表</w:t>
      </w:r>
      <w:bookmarkEnd w:id="71"/>
    </w:p>
    <w:p>
      <w:pPr>
        <w:pStyle w:val="3"/>
        <w:spacing w:line="560" w:lineRule="exact"/>
        <w:rPr>
          <w:rFonts w:ascii="黑体" w:hAnsi="黑体" w:eastAsia="黑体"/>
        </w:rPr>
      </w:pPr>
      <w:bookmarkStart w:id="72" w:name="_Toc15396628"/>
      <w:r>
        <w:rPr>
          <w:rStyle w:val="26"/>
          <w:rFonts w:hint="eastAsia" w:ascii="黑体" w:hAnsi="黑体" w:eastAsia="黑体"/>
          <w:b w:val="0"/>
          <w:bCs w:val="0"/>
        </w:rPr>
        <w:t>十、</w:t>
      </w:r>
      <w:r>
        <w:rPr>
          <w:rFonts w:hint="eastAsia" w:ascii="黑体" w:hAnsi="黑体" w:eastAsia="黑体"/>
        </w:rPr>
        <w:t>一</w:t>
      </w:r>
      <w:r>
        <w:rPr>
          <w:rStyle w:val="26"/>
          <w:rFonts w:hint="eastAsia" w:ascii="黑体" w:hAnsi="黑体" w:eastAsia="黑体"/>
          <w:b w:val="0"/>
          <w:bCs w:val="0"/>
        </w:rPr>
        <w:t>般公共预算财政拨款“三公”经费支出决算表</w:t>
      </w:r>
      <w:bookmarkEnd w:id="72"/>
    </w:p>
    <w:p>
      <w:pPr>
        <w:pStyle w:val="3"/>
        <w:spacing w:line="560" w:lineRule="exact"/>
        <w:rPr>
          <w:rFonts w:ascii="黑体" w:hAnsi="黑体" w:eastAsia="黑体"/>
        </w:rPr>
      </w:pPr>
      <w:bookmarkStart w:id="73" w:name="_Toc15396629"/>
      <w:r>
        <w:rPr>
          <w:rStyle w:val="26"/>
          <w:rFonts w:hint="eastAsia" w:ascii="黑体" w:hAnsi="黑体" w:eastAsia="黑体"/>
          <w:b w:val="0"/>
          <w:bCs w:val="0"/>
        </w:rPr>
        <w:t>十一、</w:t>
      </w:r>
      <w:r>
        <w:rPr>
          <w:rFonts w:hint="eastAsia" w:ascii="黑体" w:hAnsi="黑体" w:eastAsia="黑体"/>
          <w:b w:val="0"/>
        </w:rPr>
        <w:t>政</w:t>
      </w:r>
      <w:r>
        <w:rPr>
          <w:rStyle w:val="26"/>
          <w:rFonts w:hint="eastAsia" w:ascii="黑体" w:hAnsi="黑体" w:eastAsia="黑体"/>
          <w:b w:val="0"/>
          <w:bCs w:val="0"/>
        </w:rPr>
        <w:t>府性基金预算财政拨款收入支出决算表</w:t>
      </w:r>
      <w:bookmarkEnd w:id="73"/>
    </w:p>
    <w:p>
      <w:pPr>
        <w:pStyle w:val="3"/>
        <w:spacing w:line="560" w:lineRule="exact"/>
        <w:rPr>
          <w:rFonts w:ascii="黑体" w:hAnsi="黑体" w:eastAsia="黑体"/>
        </w:rPr>
      </w:pPr>
      <w:bookmarkStart w:id="74" w:name="_Toc15396630"/>
      <w:r>
        <w:rPr>
          <w:rStyle w:val="26"/>
          <w:rFonts w:hint="eastAsia" w:ascii="黑体" w:hAnsi="黑体" w:eastAsia="黑体"/>
          <w:b w:val="0"/>
          <w:bCs w:val="0"/>
        </w:rPr>
        <w:t>十二、</w:t>
      </w:r>
      <w:r>
        <w:rPr>
          <w:rFonts w:hint="eastAsia" w:ascii="黑体" w:hAnsi="黑体" w:eastAsia="黑体"/>
          <w:b w:val="0"/>
        </w:rPr>
        <w:t>政</w:t>
      </w:r>
      <w:r>
        <w:rPr>
          <w:rStyle w:val="26"/>
          <w:rFonts w:hint="eastAsia" w:ascii="黑体" w:hAnsi="黑体" w:eastAsia="黑体"/>
          <w:b w:val="0"/>
          <w:bCs w:val="0"/>
        </w:rPr>
        <w:t>府性基金预算财政拨款“三公”经费支出决算表</w:t>
      </w:r>
      <w:bookmarkEnd w:id="74"/>
    </w:p>
    <w:p>
      <w:pPr>
        <w:pStyle w:val="3"/>
        <w:spacing w:line="560" w:lineRule="exact"/>
        <w:rPr>
          <w:rFonts w:ascii="黑体" w:hAnsi="黑体" w:eastAsia="黑体"/>
          <w:color w:val="000000" w:themeColor="text1"/>
        </w:rPr>
      </w:pPr>
      <w:bookmarkStart w:id="75" w:name="_Toc15396631"/>
      <w:r>
        <w:rPr>
          <w:rStyle w:val="26"/>
          <w:rFonts w:hint="eastAsia" w:ascii="黑体" w:hAnsi="黑体" w:eastAsia="黑体"/>
          <w:b w:val="0"/>
          <w:bCs w:val="0"/>
        </w:rPr>
        <w:t>十三、</w:t>
      </w:r>
      <w:r>
        <w:rPr>
          <w:rFonts w:hint="eastAsia" w:ascii="黑体" w:hAnsi="黑体" w:eastAsia="黑体"/>
          <w:b w:val="0"/>
        </w:rPr>
        <w:t>国</w:t>
      </w:r>
      <w:r>
        <w:rPr>
          <w:rStyle w:val="26"/>
          <w:rFonts w:hint="eastAsia" w:ascii="黑体" w:hAnsi="黑体" w:eastAsia="黑体"/>
          <w:b w:val="0"/>
          <w:bCs w:val="0"/>
        </w:rPr>
        <w:t>有资本经营预算支出决算表</w:t>
      </w:r>
      <w:bookmarkEnd w:id="75"/>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ind w:firstLine="360"/>
        </w:pPr>
        <w:r>
          <w:fldChar w:fldCharType="begin"/>
        </w:r>
        <w:r>
          <w:instrText xml:space="preserve">PAGE   \* MERGEFORMAT</w:instrText>
        </w:r>
        <w:r>
          <w:fldChar w:fldCharType="separate"/>
        </w:r>
        <w:r>
          <w:rPr>
            <w:lang w:val="zh-CN"/>
          </w:rPr>
          <w:t>10</w:t>
        </w:r>
        <w:r>
          <w:fldChar w:fldCharType="end"/>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1045A"/>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40AF"/>
    <w:rsid w:val="00114E9B"/>
    <w:rsid w:val="00142216"/>
    <w:rsid w:val="00144D6A"/>
    <w:rsid w:val="0014729F"/>
    <w:rsid w:val="00157BAB"/>
    <w:rsid w:val="00163BF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6D4"/>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0838"/>
    <w:rsid w:val="003C39AE"/>
    <w:rsid w:val="003C7B60"/>
    <w:rsid w:val="003D0C0F"/>
    <w:rsid w:val="003D1FB2"/>
    <w:rsid w:val="003D66DA"/>
    <w:rsid w:val="003E1310"/>
    <w:rsid w:val="003E2994"/>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C4D5B"/>
    <w:rsid w:val="004E0A2D"/>
    <w:rsid w:val="004E206B"/>
    <w:rsid w:val="004E6DF7"/>
    <w:rsid w:val="004F0FBD"/>
    <w:rsid w:val="004F403E"/>
    <w:rsid w:val="00505A47"/>
    <w:rsid w:val="00512FDA"/>
    <w:rsid w:val="00520DA0"/>
    <w:rsid w:val="005274B7"/>
    <w:rsid w:val="005664BB"/>
    <w:rsid w:val="00566FFA"/>
    <w:rsid w:val="0057481D"/>
    <w:rsid w:val="00575F0B"/>
    <w:rsid w:val="0058486E"/>
    <w:rsid w:val="00585B33"/>
    <w:rsid w:val="0059014D"/>
    <w:rsid w:val="005B5C64"/>
    <w:rsid w:val="005C6BD0"/>
    <w:rsid w:val="005C6C4C"/>
    <w:rsid w:val="005D1C8B"/>
    <w:rsid w:val="005D468D"/>
    <w:rsid w:val="005D5CED"/>
    <w:rsid w:val="005F1A4C"/>
    <w:rsid w:val="005F1D42"/>
    <w:rsid w:val="00605688"/>
    <w:rsid w:val="006070AF"/>
    <w:rsid w:val="00607E6C"/>
    <w:rsid w:val="006101B1"/>
    <w:rsid w:val="00614E44"/>
    <w:rsid w:val="0062270A"/>
    <w:rsid w:val="00622830"/>
    <w:rsid w:val="00623DA0"/>
    <w:rsid w:val="00630AEF"/>
    <w:rsid w:val="006325F8"/>
    <w:rsid w:val="00633463"/>
    <w:rsid w:val="00634C9A"/>
    <w:rsid w:val="006440E4"/>
    <w:rsid w:val="00654FA7"/>
    <w:rsid w:val="0065747C"/>
    <w:rsid w:val="0066343B"/>
    <w:rsid w:val="00664777"/>
    <w:rsid w:val="006748A4"/>
    <w:rsid w:val="00681A31"/>
    <w:rsid w:val="00683E73"/>
    <w:rsid w:val="006A3141"/>
    <w:rsid w:val="006A5E34"/>
    <w:rsid w:val="006B2422"/>
    <w:rsid w:val="006B2B9A"/>
    <w:rsid w:val="006B3A1F"/>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325"/>
    <w:rsid w:val="00902FA3"/>
    <w:rsid w:val="0090707A"/>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1FAD"/>
    <w:rsid w:val="00A67AB5"/>
    <w:rsid w:val="00A733B2"/>
    <w:rsid w:val="00A741C2"/>
    <w:rsid w:val="00A91760"/>
    <w:rsid w:val="00A92172"/>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97AA7"/>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0DE2"/>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4936"/>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2420"/>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C055FF"/>
    <w:rsid w:val="16BB723D"/>
    <w:rsid w:val="240371BF"/>
    <w:rsid w:val="29FD04D3"/>
    <w:rsid w:val="319F7F4E"/>
    <w:rsid w:val="4ECE2238"/>
    <w:rsid w:val="58A40666"/>
    <w:rsid w:val="6195693C"/>
    <w:rsid w:val="72734D90"/>
    <w:rsid w:val="79611C0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仿宋" w:hAnsi="仿宋" w:eastAsia="仿宋" w:cs="Times New Roman"/>
      <w:color w:val="000000"/>
      <w:kern w:val="2"/>
      <w:sz w:val="32"/>
      <w:szCs w:val="3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29"/>
    <w:unhideWhenUsed/>
    <w:qFormat/>
    <w:uiPriority w:val="9"/>
    <w:pPr>
      <w:keepNext/>
      <w:keepLines/>
      <w:spacing w:before="260" w:after="260" w:line="416" w:lineRule="auto"/>
      <w:outlineLvl w:val="2"/>
    </w:pPr>
    <w:rPr>
      <w:b/>
      <w:bCs/>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uiPriority w:val="99"/>
    <w:pPr>
      <w:widowControl/>
      <w:spacing w:before="100" w:beforeAutospacing="1" w:after="100" w:afterAutospacing="1" w:line="240" w:lineRule="auto"/>
      <w:ind w:firstLine="0" w:firstLineChars="0"/>
      <w:jc w:val="left"/>
    </w:pPr>
    <w:rPr>
      <w:rFonts w:ascii="宋体" w:hAnsi="宋体" w:eastAsia="宋体" w:cs="宋体"/>
      <w:color w:val="auto"/>
      <w:kern w:val="0"/>
      <w:sz w:val="24"/>
      <w:szCs w:val="24"/>
    </w:rPr>
  </w:style>
  <w:style w:type="character" w:styleId="15">
    <w:name w:val="Strong"/>
    <w:basedOn w:val="14"/>
    <w:qFormat/>
    <w:uiPriority w:val="22"/>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Sheet1!$A$2</c:f>
              <c:strCache>
                <c:ptCount val="1"/>
                <c:pt idx="0">
                  <c:v>收、支决算总计</c:v>
                </c:pt>
              </c:strCache>
            </c:strRef>
          </c:tx>
          <c:invertIfNegative val="0"/>
          <c:dLbls>
            <c:delete val="1"/>
          </c:dLbls>
          <c:cat>
            <c:strRef>
              <c:f>Sheet1!$B$1:$C$1</c:f>
              <c:strCache>
                <c:ptCount val="2"/>
                <c:pt idx="0">
                  <c:v>2018年</c:v>
                </c:pt>
                <c:pt idx="1">
                  <c:v>2019年</c:v>
                </c:pt>
              </c:strCache>
            </c:strRef>
          </c:cat>
          <c:val>
            <c:numRef>
              <c:f>Sheet1!$B$2:$C$2</c:f>
              <c:numCache>
                <c:formatCode>General</c:formatCode>
                <c:ptCount val="2"/>
                <c:pt idx="0">
                  <c:v>513.8</c:v>
                </c:pt>
                <c:pt idx="1">
                  <c:v>467.26</c:v>
                </c:pt>
              </c:numCache>
            </c:numRef>
          </c:val>
        </c:ser>
        <c:dLbls>
          <c:showLegendKey val="0"/>
          <c:showVal val="0"/>
          <c:showCatName val="0"/>
          <c:showSerName val="0"/>
          <c:showPercent val="0"/>
          <c:showBubbleSize val="0"/>
        </c:dLbls>
        <c:gapWidth val="150"/>
        <c:axId val="175064960"/>
        <c:axId val="212922368"/>
      </c:barChart>
      <c:catAx>
        <c:axId val="1750649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922368"/>
        <c:crosses val="autoZero"/>
        <c:auto val="1"/>
        <c:lblAlgn val="ctr"/>
        <c:lblOffset val="100"/>
        <c:noMultiLvlLbl val="0"/>
      </c:catAx>
      <c:valAx>
        <c:axId val="2129223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50649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[工作簿1]Sheet1!$A$2</c:f>
              <c:strCache>
                <c:ptCount val="1"/>
                <c:pt idx="0">
                  <c:v>2019年本年收入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f>
              <c:strCache>
                <c:ptCount val="1"/>
                <c:pt idx="0">
                  <c:v>一般公共预算财政拨款收入</c:v>
                </c:pt>
              </c:strCache>
            </c:strRef>
          </c:cat>
          <c:val>
            <c:numRef>
              <c:f>[工作簿1]Sheet1!$B$2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Sheet1!$A$2</c:f>
              <c:strCache>
                <c:ptCount val="1"/>
                <c:pt idx="0">
                  <c:v>2019年本年支出合计</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Sheet1!$B$1:$C$1</c:f>
              <c:strCache>
                <c:ptCount val="2"/>
                <c:pt idx="0">
                  <c:v>基本支出</c:v>
                </c:pt>
                <c:pt idx="1">
                  <c:v>项目支出</c:v>
                </c:pt>
              </c:strCache>
            </c:strRef>
          </c:cat>
          <c:val>
            <c:numRef>
              <c:f>Sheet1!$B$2:$C$2</c:f>
              <c:numCache>
                <c:formatCode>0%</c:formatCode>
                <c:ptCount val="2"/>
                <c:pt idx="0">
                  <c:v>1</c:v>
                </c:pt>
                <c:pt idx="1" c:formatCode="General">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Sheet1!$A$2</c:f>
              <c:strCache>
                <c:ptCount val="1"/>
                <c:pt idx="0">
                  <c:v>财政拨款收、支决算总计</c:v>
                </c:pt>
              </c:strCache>
            </c:strRef>
          </c:tx>
          <c:invertIfNegative val="0"/>
          <c:dLbls>
            <c:delete val="1"/>
          </c:dLbls>
          <c:cat>
            <c:strRef>
              <c:f>Sheet1!$B$1:$C$1</c:f>
              <c:strCache>
                <c:ptCount val="2"/>
                <c:pt idx="0">
                  <c:v>2018年</c:v>
                </c:pt>
                <c:pt idx="1">
                  <c:v>2019年</c:v>
                </c:pt>
              </c:strCache>
            </c:strRef>
          </c:cat>
          <c:val>
            <c:numRef>
              <c:f>Sheet1!$B$2:$C$2</c:f>
              <c:numCache>
                <c:formatCode>0.00_);[Red]\(0.00\)</c:formatCode>
                <c:ptCount val="2"/>
                <c:pt idx="0">
                  <c:v>513.8</c:v>
                </c:pt>
                <c:pt idx="1" c:formatCode="General">
                  <c:v>467.27</c:v>
                </c:pt>
              </c:numCache>
            </c:numRef>
          </c:val>
        </c:ser>
        <c:dLbls>
          <c:showLegendKey val="0"/>
          <c:showVal val="0"/>
          <c:showCatName val="0"/>
          <c:showSerName val="0"/>
          <c:showPercent val="0"/>
          <c:showBubbleSize val="0"/>
        </c:dLbls>
        <c:gapWidth val="150"/>
        <c:axId val="163041280"/>
        <c:axId val="163042816"/>
      </c:barChart>
      <c:catAx>
        <c:axId val="16304128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3042816"/>
        <c:crosses val="autoZero"/>
        <c:auto val="1"/>
        <c:lblAlgn val="ctr"/>
        <c:lblOffset val="100"/>
        <c:noMultiLvlLbl val="0"/>
      </c:catAx>
      <c:valAx>
        <c:axId val="163042816"/>
        <c:scaling>
          <c:orientation val="minMax"/>
        </c:scaling>
        <c:delete val="0"/>
        <c:axPos val="l"/>
        <c:majorGridlines/>
        <c:numFmt formatCode="0.00_);[Red]\(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30412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Sheet1!$A$2</c:f>
              <c:strCache>
                <c:ptCount val="1"/>
                <c:pt idx="0">
                  <c:v>2019年一般公共预算财政拨款支出</c:v>
                </c:pt>
              </c:strCache>
            </c:strRef>
          </c:tx>
          <c:invertIfNegative val="0"/>
          <c:dLbls>
            <c:delete val="1"/>
          </c:dLbls>
          <c:cat>
            <c:strRef>
              <c:f>Sheet1!$B$1:$C$1</c:f>
              <c:strCache>
                <c:ptCount val="2"/>
                <c:pt idx="0">
                  <c:v>2018年</c:v>
                </c:pt>
                <c:pt idx="1">
                  <c:v>2019年</c:v>
                </c:pt>
              </c:strCache>
            </c:strRef>
          </c:cat>
          <c:val>
            <c:numRef>
              <c:f>Sheet1!$B$2:$C$2</c:f>
              <c:numCache>
                <c:formatCode>0.00_);[Red]\(0.00\)</c:formatCode>
                <c:ptCount val="2"/>
                <c:pt idx="0">
                  <c:v>508.74</c:v>
                </c:pt>
                <c:pt idx="1" c:formatCode="General">
                  <c:v>467.27</c:v>
                </c:pt>
              </c:numCache>
            </c:numRef>
          </c:val>
        </c:ser>
        <c:dLbls>
          <c:showLegendKey val="0"/>
          <c:showVal val="0"/>
          <c:showCatName val="0"/>
          <c:showSerName val="0"/>
          <c:showPercent val="0"/>
          <c:showBubbleSize val="0"/>
        </c:dLbls>
        <c:gapWidth val="150"/>
        <c:axId val="212932096"/>
        <c:axId val="212933632"/>
      </c:barChart>
      <c:catAx>
        <c:axId val="2129320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933632"/>
        <c:crosses val="autoZero"/>
        <c:auto val="1"/>
        <c:lblAlgn val="ctr"/>
        <c:lblOffset val="100"/>
        <c:noMultiLvlLbl val="0"/>
      </c:catAx>
      <c:valAx>
        <c:axId val="212933632"/>
        <c:scaling>
          <c:orientation val="minMax"/>
        </c:scaling>
        <c:delete val="0"/>
        <c:axPos val="l"/>
        <c:majorGridlines/>
        <c:numFmt formatCode="0.00_);[Red]\(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29320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985793547958404"/>
          <c:y val="0"/>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Sheet1!$A$2</c:f>
              <c:strCache>
                <c:ptCount val="1"/>
                <c:pt idx="0">
                  <c:v>2019年一般公共预算财政拨款支出</c:v>
                </c:pt>
              </c:strCache>
            </c:strRef>
          </c:tx>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84.74%</a:t>
                    </a:r>
                    <a:endParaRPr lang="en-US" altLang="en-US"/>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0.47%</a:t>
                    </a:r>
                    <a:endParaRPr lang="en-US" altLang="en-US"/>
                  </a:p>
                </c:rich>
              </c:tx>
              <c:dLblPos val="bestFit"/>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5.25%</a:t>
                    </a:r>
                    <a:endParaRPr lang="en-US" altLang="en-US"/>
                  </a:p>
                </c:rich>
              </c:tx>
              <c:dLblPos val="bestFit"/>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9.54%</a:t>
                    </a:r>
                    <a:endParaRPr lang="en-US" altLang="en-US"/>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Sheet1!$B$1:$E$1</c:f>
              <c:strCache>
                <c:ptCount val="4"/>
                <c:pt idx="0">
                  <c:v>一般公共服务（类）支出</c:v>
                </c:pt>
                <c:pt idx="1">
                  <c:v>社会保障和就业（类）支出</c:v>
                </c:pt>
                <c:pt idx="2">
                  <c:v>卫生健康支出（类）</c:v>
                </c:pt>
                <c:pt idx="3">
                  <c:v>住房保障支出（类）</c:v>
                </c:pt>
              </c:strCache>
            </c:strRef>
          </c:cat>
          <c:val>
            <c:numRef>
              <c:f>Sheet1!$B$2:$E$2</c:f>
              <c:numCache>
                <c:formatCode>0.00%</c:formatCode>
                <c:ptCount val="4"/>
                <c:pt idx="0">
                  <c:v>0.8474</c:v>
                </c:pt>
                <c:pt idx="1">
                  <c:v>0.0047</c:v>
                </c:pt>
                <c:pt idx="2">
                  <c:v>0.0525</c:v>
                </c:pt>
                <c:pt idx="3">
                  <c:v>0.0954</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Sheet1!$A$2</c:f>
              <c:strCache>
                <c:ptCount val="1"/>
                <c:pt idx="0">
                  <c:v>2019年“三公”经费财政拨款支出</c:v>
                </c:pt>
              </c:strCache>
            </c:strRef>
          </c:tx>
          <c:explosion val="0"/>
          <c:dPt>
            <c:idx val="0"/>
            <c:bubble3D val="0"/>
          </c:dPt>
          <c:dPt>
            <c:idx val="1"/>
            <c:bubble3D val="0"/>
          </c:dPt>
          <c:dPt>
            <c:idx val="2"/>
            <c:bubble3D val="0"/>
          </c:dPt>
          <c:dLbls>
            <c:delete val="1"/>
          </c:dLbls>
          <c:cat>
            <c:strRef>
              <c:f>Sheet1!$B$1:$D$1</c:f>
              <c:strCache>
                <c:ptCount val="3"/>
                <c:pt idx="0">
                  <c:v>因公出国（境）费</c:v>
                </c:pt>
                <c:pt idx="1">
                  <c:v>公务用车购置及运行维护费</c:v>
                </c:pt>
                <c:pt idx="2">
                  <c:v>公务接待费</c:v>
                </c:pt>
              </c:strCache>
            </c:strRef>
          </c:cat>
          <c:val>
            <c:numRef>
              <c:f>Sheet1!$B$2:$D$2</c:f>
              <c:numCache>
                <c:formatCode>0.00%</c:formatCode>
                <c:ptCount val="3"/>
                <c:pt idx="0">
                  <c:v>0</c:v>
                </c:pt>
                <c:pt idx="1">
                  <c:v>0</c:v>
                </c:pt>
                <c:pt idx="2">
                  <c:v>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44976-0C7E-4179-9373-2F74E2E5B8D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6746</Words>
  <Characters>2232</Characters>
  <Lines>18</Lines>
  <Paragraphs>17</Paragraphs>
  <TotalTime>1168</TotalTime>
  <ScaleCrop>false</ScaleCrop>
  <LinksUpToDate>false</LinksUpToDate>
  <CharactersWithSpaces>8961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2020-09-15T07:53:00Z</dcterms:created>
  <dc:creator>曹颖</dc:creator>
  <cp:lastModifiedBy>婧婧妹儿</cp:lastModifiedBy>
  <cp:lastPrinted>2020-07-23T02:58:00Z</cp:lastPrinted>
  <dcterms:modified xsi:type="dcterms:W3CDTF">2020-09-30T02:34:42Z</dcterms:modified>
  <dc:title>四川省***</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